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B1" w:rsidRDefault="008A2AB1">
      <w:pPr>
        <w:rPr>
          <w:rFonts w:ascii="ＭＳ 明朝" w:hAnsiTheme="minorHAnsi" w:cs="Times New Roman"/>
          <w:spacing w:val="2"/>
        </w:rPr>
      </w:pPr>
      <w:bookmarkStart w:id="0" w:name="_GoBack"/>
      <w:bookmarkEnd w:id="0"/>
      <w:r>
        <w:rPr>
          <w:rFonts w:hint="eastAsia"/>
          <w:bdr w:val="single" w:sz="4" w:space="0" w:color="000000"/>
        </w:rPr>
        <w:t>検討の観点と内容の特色</w:t>
      </w:r>
    </w:p>
    <w:p w:rsidR="008A2AB1" w:rsidRDefault="008A2AB1">
      <w:pPr>
        <w:jc w:val="center"/>
        <w:rPr>
          <w:rFonts w:ascii="ＭＳ 明朝" w:hAnsiTheme="minorHAnsi" w:cs="Times New Roman"/>
          <w:spacing w:val="2"/>
        </w:rPr>
      </w:pPr>
      <w:r>
        <w:rPr>
          <w:rFonts w:ascii="ＭＳ 明朝" w:eastAsia="ＭＳ ゴシック" w:hAnsiTheme="minorHAnsi" w:cs="ＭＳ ゴシック" w:hint="eastAsia"/>
          <w:sz w:val="28"/>
          <w:szCs w:val="28"/>
        </w:rPr>
        <w:t>『精選</w:t>
      </w:r>
      <w:r>
        <w:rPr>
          <w:rFonts w:ascii="ＭＳ ゴシック" w:hAnsi="ＭＳ ゴシック" w:cs="ＭＳ ゴシック"/>
          <w:sz w:val="28"/>
          <w:szCs w:val="28"/>
        </w:rPr>
        <w:t xml:space="preserve"> </w:t>
      </w:r>
      <w:r>
        <w:rPr>
          <w:rFonts w:ascii="ＭＳ 明朝" w:eastAsia="ＭＳ ゴシック" w:hAnsiTheme="minorHAnsi" w:cs="ＭＳ ゴシック" w:hint="eastAsia"/>
          <w:sz w:val="28"/>
          <w:szCs w:val="28"/>
        </w:rPr>
        <w:t>国語総合』</w:t>
      </w:r>
    </w:p>
    <w:p w:rsidR="008A2AB1" w:rsidRDefault="008A2AB1">
      <w:pPr>
        <w:rPr>
          <w:rFonts w:ascii="ＭＳ 明朝" w:hAnsiTheme="minorHAnsi" w:cs="Times New Roman"/>
          <w:spacing w:val="2"/>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083"/>
      </w:tblGrid>
      <w:tr w:rsidR="008A2AB1">
        <w:tblPrEx>
          <w:tblCellMar>
            <w:top w:w="0" w:type="dxa"/>
            <w:bottom w:w="0" w:type="dxa"/>
          </w:tblCellMar>
        </w:tblPrEx>
        <w:trPr>
          <w:trHeight w:val="324"/>
        </w:trPr>
        <w:tc>
          <w:tcPr>
            <w:tcW w:w="2126" w:type="dxa"/>
            <w:tcBorders>
              <w:top w:val="single" w:sz="4" w:space="0" w:color="000000"/>
              <w:left w:val="single" w:sz="4" w:space="0" w:color="000000"/>
              <w:bottom w:val="single" w:sz="4" w:space="0" w:color="000000"/>
              <w:right w:val="single" w:sz="4" w:space="0" w:color="000000"/>
            </w:tcBorders>
          </w:tcPr>
          <w:p w:rsidR="008A2AB1" w:rsidRDefault="008A2AB1">
            <w:pPr>
              <w:suppressAutoHyphens/>
              <w:kinsoku w:val="0"/>
              <w:wordWrap w:val="0"/>
              <w:autoSpaceDE w:val="0"/>
              <w:autoSpaceDN w:val="0"/>
              <w:spacing w:line="322" w:lineRule="atLeast"/>
              <w:jc w:val="center"/>
              <w:rPr>
                <w:rFonts w:ascii="ＭＳ 明朝" w:hAnsiTheme="minorHAnsi" w:cs="Times New Roman"/>
                <w:color w:val="auto"/>
                <w:sz w:val="24"/>
                <w:szCs w:val="24"/>
              </w:rPr>
            </w:pPr>
            <w:r>
              <w:rPr>
                <w:rFonts w:hint="eastAsia"/>
              </w:rPr>
              <w:t>発行者番号・略称</w:t>
            </w:r>
          </w:p>
        </w:tc>
        <w:tc>
          <w:tcPr>
            <w:tcW w:w="3083" w:type="dxa"/>
            <w:tcBorders>
              <w:top w:val="single" w:sz="4" w:space="0" w:color="000000"/>
              <w:left w:val="single" w:sz="4" w:space="0" w:color="000000"/>
              <w:bottom w:val="single" w:sz="4" w:space="0" w:color="000000"/>
              <w:right w:val="single" w:sz="4" w:space="0" w:color="000000"/>
            </w:tcBorders>
          </w:tcPr>
          <w:p w:rsidR="008A2AB1" w:rsidRDefault="008A2AB1">
            <w:pPr>
              <w:suppressAutoHyphens/>
              <w:kinsoku w:val="0"/>
              <w:wordWrap w:val="0"/>
              <w:autoSpaceDE w:val="0"/>
              <w:autoSpaceDN w:val="0"/>
              <w:spacing w:line="322" w:lineRule="atLeast"/>
              <w:jc w:val="center"/>
              <w:rPr>
                <w:rFonts w:ascii="ＭＳ 明朝" w:hAnsiTheme="minorHAnsi" w:cs="Times New Roman"/>
                <w:color w:val="auto"/>
                <w:sz w:val="24"/>
                <w:szCs w:val="24"/>
              </w:rPr>
            </w:pPr>
            <w:r>
              <w:rPr>
                <w:rFonts w:hint="eastAsia"/>
              </w:rPr>
              <w:t>教科書の記号・番号</w:t>
            </w:r>
          </w:p>
        </w:tc>
      </w:tr>
      <w:tr w:rsidR="008A2AB1">
        <w:tblPrEx>
          <w:tblCellMar>
            <w:top w:w="0" w:type="dxa"/>
            <w:bottom w:w="0" w:type="dxa"/>
          </w:tblCellMar>
        </w:tblPrEx>
        <w:trPr>
          <w:trHeight w:val="324"/>
        </w:trPr>
        <w:tc>
          <w:tcPr>
            <w:tcW w:w="2126" w:type="dxa"/>
            <w:tcBorders>
              <w:top w:val="single" w:sz="4" w:space="0" w:color="000000"/>
              <w:left w:val="single" w:sz="4" w:space="0" w:color="000000"/>
              <w:bottom w:val="single" w:sz="4" w:space="0" w:color="000000"/>
              <w:right w:val="single" w:sz="4" w:space="0" w:color="000000"/>
            </w:tcBorders>
          </w:tcPr>
          <w:p w:rsidR="008A2AB1" w:rsidRDefault="008A2AB1">
            <w:pPr>
              <w:suppressAutoHyphens/>
              <w:kinsoku w:val="0"/>
              <w:wordWrap w:val="0"/>
              <w:autoSpaceDE w:val="0"/>
              <w:autoSpaceDN w:val="0"/>
              <w:spacing w:line="322" w:lineRule="atLeast"/>
              <w:jc w:val="center"/>
              <w:rPr>
                <w:rFonts w:ascii="ＭＳ 明朝" w:hAnsiTheme="minorHAnsi" w:cs="Times New Roman"/>
                <w:color w:val="auto"/>
                <w:sz w:val="24"/>
                <w:szCs w:val="24"/>
              </w:rPr>
            </w:pPr>
            <w:r>
              <w:rPr>
                <w:rFonts w:hint="eastAsia"/>
              </w:rPr>
              <w:t>１５　三省堂</w:t>
            </w:r>
          </w:p>
        </w:tc>
        <w:tc>
          <w:tcPr>
            <w:tcW w:w="3083" w:type="dxa"/>
            <w:tcBorders>
              <w:top w:val="single" w:sz="4" w:space="0" w:color="000000"/>
              <w:left w:val="single" w:sz="4" w:space="0" w:color="000000"/>
              <w:bottom w:val="single" w:sz="4" w:space="0" w:color="000000"/>
              <w:right w:val="single" w:sz="4" w:space="0" w:color="000000"/>
            </w:tcBorders>
          </w:tcPr>
          <w:p w:rsidR="008A2AB1" w:rsidRDefault="00112120">
            <w:pPr>
              <w:suppressAutoHyphens/>
              <w:kinsoku w:val="0"/>
              <w:wordWrap w:val="0"/>
              <w:autoSpaceDE w:val="0"/>
              <w:autoSpaceDN w:val="0"/>
              <w:spacing w:line="322" w:lineRule="atLeast"/>
              <w:jc w:val="center"/>
              <w:rPr>
                <w:rFonts w:ascii="ＭＳ 明朝" w:hAnsiTheme="minorHAnsi" w:cs="Times New Roman"/>
                <w:color w:val="auto"/>
                <w:sz w:val="24"/>
                <w:szCs w:val="24"/>
              </w:rPr>
            </w:pPr>
            <w:r>
              <w:rPr>
                <w:rFonts w:hint="eastAsia"/>
              </w:rPr>
              <w:t>国総　３３８</w:t>
            </w:r>
          </w:p>
        </w:tc>
      </w:tr>
    </w:tbl>
    <w:p w:rsidR="008A2AB1" w:rsidRDefault="008A2AB1">
      <w:pPr>
        <w:jc w:val="center"/>
        <w:rPr>
          <w:rFonts w:ascii="ＭＳ 明朝" w:hAnsiTheme="minorHAnsi" w:cs="Times New Roman"/>
          <w:spacing w:val="2"/>
        </w:rPr>
      </w:pPr>
      <w:r>
        <w:rPr>
          <w:rFonts w:hint="eastAsia"/>
        </w:rPr>
        <w:t>Ａ５判、４００ページ</w:t>
      </w:r>
      <w:r>
        <w:rPr>
          <w:rFonts w:cs="Times New Roman"/>
        </w:rPr>
        <w:t xml:space="preserve"> </w:t>
      </w:r>
      <w:r>
        <w:rPr>
          <w:rFonts w:hint="eastAsia"/>
        </w:rPr>
        <w:t xml:space="preserve">　編集代表：中洌正堯・</w:t>
      </w:r>
      <w:r w:rsidR="00112120">
        <w:rPr>
          <w:rFonts w:hint="eastAsia"/>
        </w:rPr>
        <w:t>岩﨑</w:t>
      </w:r>
      <w:r>
        <w:rPr>
          <w:rFonts w:hint="eastAsia"/>
        </w:rPr>
        <w:t>昇一</w:t>
      </w:r>
    </w:p>
    <w:p w:rsidR="008A2AB1" w:rsidRDefault="008A2AB1">
      <w:pPr>
        <w:rPr>
          <w:rFonts w:ascii="ＭＳ 明朝" w:hAnsiTheme="minorHAnsi" w:cs="Times New Roman"/>
          <w:spacing w:val="2"/>
        </w:rPr>
      </w:pPr>
    </w:p>
    <w:p w:rsidR="008A2AB1" w:rsidRDefault="008A2AB1">
      <w:pPr>
        <w:rPr>
          <w:rFonts w:ascii="ＭＳ 明朝" w:hAnsiTheme="minorHAnsi" w:cs="Times New Roman"/>
          <w:spacing w:val="2"/>
        </w:rPr>
      </w:pPr>
      <w:r>
        <w:rPr>
          <w:rFonts w:hint="eastAsia"/>
          <w:sz w:val="20"/>
          <w:szCs w:val="20"/>
        </w:rPr>
        <w:t>＜１．内容＞</w:t>
      </w:r>
    </w:p>
    <w:p w:rsidR="008A2AB1" w:rsidRDefault="008A2AB1">
      <w:pPr>
        <w:ind w:left="212" w:hanging="210"/>
        <w:rPr>
          <w:rFonts w:ascii="ＭＳ 明朝" w:hAnsiTheme="minorHAnsi" w:cs="Times New Roman"/>
          <w:spacing w:val="2"/>
        </w:rPr>
      </w:pPr>
      <w:r>
        <w:rPr>
          <w:rFonts w:hint="eastAsia"/>
          <w:sz w:val="20"/>
          <w:szCs w:val="20"/>
        </w:rPr>
        <w:t>①全体を通して、総合的な国語力を確実に育成するために適切な内容である。</w:t>
      </w:r>
    </w:p>
    <w:p w:rsidR="008A2AB1" w:rsidRDefault="008A2AB1">
      <w:pPr>
        <w:ind w:left="212" w:hanging="210"/>
        <w:rPr>
          <w:rFonts w:ascii="ＭＳ 明朝" w:hAnsiTheme="minorHAnsi" w:cs="Times New Roman"/>
          <w:spacing w:val="2"/>
        </w:rPr>
      </w:pPr>
      <w:r>
        <w:rPr>
          <w:rFonts w:hint="eastAsia"/>
          <w:sz w:val="20"/>
          <w:szCs w:val="20"/>
        </w:rPr>
        <w:t>②「現代文編」では、オーソドックスな教材と現在注目されている著者による新しい教材とをバランスよく採録している。</w:t>
      </w:r>
    </w:p>
    <w:p w:rsidR="008A2AB1" w:rsidRDefault="008A2AB1">
      <w:pPr>
        <w:ind w:left="212" w:hanging="210"/>
        <w:rPr>
          <w:rFonts w:ascii="ＭＳ 明朝" w:hAnsiTheme="minorHAnsi" w:cs="Times New Roman"/>
          <w:spacing w:val="2"/>
        </w:rPr>
      </w:pPr>
      <w:r>
        <w:rPr>
          <w:rFonts w:hint="eastAsia"/>
          <w:sz w:val="20"/>
          <w:szCs w:val="20"/>
        </w:rPr>
        <w:t>③「現代文編」の教材には、幅広いテーマから、生徒の関心を引く話題や主体的に考えられる話題が取り上げられており、生徒が意欲をもって学習に取り組めるようになるとともに、思考力を高め、論理的に物事を捉える力を育てることが期待できる。</w:t>
      </w:r>
    </w:p>
    <w:p w:rsidR="008A2AB1" w:rsidRDefault="008A2AB1">
      <w:pPr>
        <w:ind w:left="212" w:hanging="210"/>
        <w:rPr>
          <w:rFonts w:ascii="ＭＳ 明朝" w:hAnsiTheme="minorHAnsi" w:cs="Times New Roman"/>
          <w:spacing w:val="2"/>
        </w:rPr>
      </w:pPr>
      <w:r>
        <w:rPr>
          <w:rFonts w:hint="eastAsia"/>
          <w:sz w:val="20"/>
          <w:szCs w:val="20"/>
        </w:rPr>
        <w:t>④表現教材は、「話すこと・聞くこと」「書くこと」「読むこと」の指導のための、実用的な言語活動がコンパクトにまとめられており、生徒のコミュニケーション能力を高めることが期待できる。</w:t>
      </w:r>
    </w:p>
    <w:p w:rsidR="008A2AB1" w:rsidRDefault="008A2AB1">
      <w:pPr>
        <w:ind w:left="212" w:hanging="210"/>
        <w:rPr>
          <w:rFonts w:ascii="ＭＳ 明朝" w:hAnsiTheme="minorHAnsi" w:cs="Times New Roman"/>
          <w:spacing w:val="2"/>
        </w:rPr>
      </w:pPr>
      <w:r>
        <w:rPr>
          <w:rFonts w:hint="eastAsia"/>
        </w:rPr>
        <w:t>⑤コラム「読解から表現へ」には、引用、比較、要約など、表現の技能的な要素が読解教材本文と関連づけて解説されており、小論文を書くことを意識した学習を展開できるようになっている。</w:t>
      </w:r>
    </w:p>
    <w:p w:rsidR="008A2AB1" w:rsidRDefault="008A2AB1">
      <w:pPr>
        <w:ind w:left="212" w:hanging="210"/>
        <w:rPr>
          <w:rFonts w:ascii="ＭＳ 明朝" w:hAnsiTheme="minorHAnsi" w:cs="Times New Roman"/>
          <w:spacing w:val="2"/>
        </w:rPr>
      </w:pPr>
      <w:r>
        <w:rPr>
          <w:rFonts w:hint="eastAsia"/>
          <w:sz w:val="20"/>
          <w:szCs w:val="20"/>
        </w:rPr>
        <w:t>⑥「読書の扉」では、読解教材に関連した書籍が写真・解説入りで紹介されている。選書も適切で、生徒にも入手できるものが選ばれており、読書指導に有益である。</w:t>
      </w:r>
    </w:p>
    <w:p w:rsidR="008A2AB1" w:rsidRDefault="008A2AB1">
      <w:pPr>
        <w:ind w:left="212" w:hanging="210"/>
        <w:rPr>
          <w:rFonts w:ascii="ＭＳ 明朝" w:hAnsiTheme="minorHAnsi" w:cs="Times New Roman"/>
          <w:spacing w:val="2"/>
        </w:rPr>
      </w:pPr>
      <w:r>
        <w:rPr>
          <w:rFonts w:hint="eastAsia"/>
          <w:sz w:val="20"/>
          <w:szCs w:val="20"/>
        </w:rPr>
        <w:t>⑦「古典編」は、丁寧な導入教材とともに各ジャンルのオーソドックスな教材を精選して採録している。また、文法・句法についても適切にまとめられているので、基礎的・基本的な事項を確実に学習できるようになっている。</w:t>
      </w:r>
    </w:p>
    <w:p w:rsidR="008A2AB1" w:rsidRDefault="008A2AB1">
      <w:pPr>
        <w:ind w:left="212" w:hanging="210"/>
        <w:rPr>
          <w:rFonts w:ascii="ＭＳ 明朝" w:hAnsiTheme="minorHAnsi" w:cs="Times New Roman"/>
          <w:spacing w:val="2"/>
        </w:rPr>
      </w:pPr>
      <w:r>
        <w:rPr>
          <w:rFonts w:hint="eastAsia"/>
          <w:sz w:val="20"/>
          <w:szCs w:val="20"/>
        </w:rPr>
        <w:t>⑧「古典編」のコラム「文法から解釈へ」は、文法事項の把握が古典作品の理解を深めるということを平易に解説しており、生徒に文法学習の意義を理解させるのに好適である。</w:t>
      </w:r>
    </w:p>
    <w:p w:rsidR="008A2AB1" w:rsidRDefault="008A2AB1">
      <w:pPr>
        <w:ind w:left="212" w:hanging="210"/>
        <w:rPr>
          <w:rFonts w:ascii="ＭＳ 明朝" w:hAnsiTheme="minorHAnsi" w:cs="Times New Roman"/>
          <w:spacing w:val="2"/>
        </w:rPr>
      </w:pPr>
      <w:r>
        <w:rPr>
          <w:rFonts w:hint="eastAsia"/>
          <w:sz w:val="20"/>
          <w:szCs w:val="20"/>
        </w:rPr>
        <w:t>⑨「古典編」のコラム「古典の扉」は、作品の時代背景や当時の生活風習、古典作品と現代とのつながりなどが平易に解説されており、作品理解を深めるのに役立つものとなっている。</w:t>
      </w:r>
    </w:p>
    <w:p w:rsidR="008A2AB1" w:rsidRDefault="008A2AB1">
      <w:pPr>
        <w:ind w:left="212" w:hanging="210"/>
        <w:rPr>
          <w:rFonts w:ascii="ＭＳ 明朝" w:hAnsiTheme="minorHAnsi" w:cs="Times New Roman"/>
          <w:spacing w:val="2"/>
        </w:rPr>
      </w:pPr>
      <w:r>
        <w:rPr>
          <w:rFonts w:hint="eastAsia"/>
          <w:sz w:val="20"/>
          <w:szCs w:val="20"/>
        </w:rPr>
        <w:t>⑩見返しや巻末付録には、さまざまな学習活動で活用できる資料が掲載されており、生徒の教材理解・言語活動を支えるものとなっている。</w:t>
      </w:r>
    </w:p>
    <w:p w:rsidR="008A2AB1" w:rsidRDefault="008A2AB1">
      <w:pPr>
        <w:rPr>
          <w:rFonts w:ascii="ＭＳ 明朝" w:hAnsiTheme="minorHAnsi" w:cs="Times New Roman"/>
          <w:spacing w:val="2"/>
        </w:rPr>
      </w:pPr>
    </w:p>
    <w:p w:rsidR="008A2AB1" w:rsidRDefault="008A2AB1">
      <w:pPr>
        <w:rPr>
          <w:rFonts w:ascii="ＭＳ 明朝" w:hAnsiTheme="minorHAnsi" w:cs="Times New Roman"/>
          <w:spacing w:val="2"/>
        </w:rPr>
      </w:pPr>
      <w:r>
        <w:rPr>
          <w:rFonts w:hint="eastAsia"/>
          <w:sz w:val="20"/>
          <w:szCs w:val="20"/>
        </w:rPr>
        <w:t>＜２．構成・分量＞</w:t>
      </w:r>
    </w:p>
    <w:p w:rsidR="008A2AB1" w:rsidRDefault="008A2AB1">
      <w:pPr>
        <w:ind w:left="212" w:hanging="210"/>
        <w:rPr>
          <w:rFonts w:ascii="ＭＳ 明朝" w:hAnsiTheme="minorHAnsi" w:cs="Times New Roman"/>
          <w:spacing w:val="2"/>
        </w:rPr>
      </w:pPr>
      <w:r>
        <w:rPr>
          <w:rFonts w:hint="eastAsia"/>
          <w:sz w:val="20"/>
          <w:szCs w:val="20"/>
        </w:rPr>
        <w:t>①ジャンル別の単元構成で、学校での指導の実態にあった構成となっている。</w:t>
      </w:r>
    </w:p>
    <w:p w:rsidR="008A2AB1" w:rsidRDefault="008A2AB1">
      <w:pPr>
        <w:ind w:left="212" w:hanging="210"/>
        <w:rPr>
          <w:rFonts w:ascii="ＭＳ 明朝" w:hAnsiTheme="minorHAnsi" w:cs="Times New Roman"/>
          <w:spacing w:val="2"/>
        </w:rPr>
      </w:pPr>
      <w:r>
        <w:rPr>
          <w:rFonts w:hint="eastAsia"/>
          <w:sz w:val="20"/>
          <w:szCs w:val="20"/>
        </w:rPr>
        <w:t>②「現代文編」「古典編」とも、教材数及び個々の教材の長さが適切であり、学校の実態に合わせて学習活動を展開できるように配慮されている。</w:t>
      </w:r>
    </w:p>
    <w:p w:rsidR="008A2AB1" w:rsidRDefault="008A2AB1">
      <w:pPr>
        <w:ind w:left="212" w:hanging="210"/>
        <w:rPr>
          <w:rFonts w:ascii="ＭＳ 明朝" w:hAnsiTheme="minorHAnsi" w:cs="Times New Roman"/>
          <w:spacing w:val="2"/>
        </w:rPr>
      </w:pPr>
      <w:r>
        <w:rPr>
          <w:rFonts w:hint="eastAsia"/>
          <w:sz w:val="20"/>
          <w:szCs w:val="20"/>
        </w:rPr>
        <w:t>③現代文教材は、評論・小説・随想・詩歌がバランスよく収録・配置されている。</w:t>
      </w:r>
    </w:p>
    <w:p w:rsidR="008A2AB1" w:rsidRDefault="008A2AB1">
      <w:pPr>
        <w:ind w:left="212" w:hanging="210"/>
        <w:rPr>
          <w:rFonts w:ascii="ＭＳ 明朝" w:hAnsiTheme="minorHAnsi" w:cs="Times New Roman"/>
          <w:spacing w:val="2"/>
        </w:rPr>
      </w:pPr>
      <w:r>
        <w:rPr>
          <w:rFonts w:hint="eastAsia"/>
          <w:sz w:val="20"/>
          <w:szCs w:val="20"/>
        </w:rPr>
        <w:t>④表現教材は「現代文編」の末尾にまとめて収録してあるので扱いやすく、また、「読解から表現へ」によって、現代文教材との関連を図ることもできるので、カリキュラム編成がしやすい。</w:t>
      </w:r>
    </w:p>
    <w:p w:rsidR="008A2AB1" w:rsidRDefault="008A2AB1">
      <w:pPr>
        <w:ind w:left="212" w:hanging="210"/>
        <w:rPr>
          <w:rFonts w:ascii="ＭＳ 明朝" w:hAnsiTheme="minorHAnsi" w:cs="Times New Roman"/>
          <w:spacing w:val="2"/>
        </w:rPr>
      </w:pPr>
      <w:r>
        <w:rPr>
          <w:rFonts w:hint="eastAsia"/>
          <w:sz w:val="20"/>
          <w:szCs w:val="20"/>
        </w:rPr>
        <w:t>⑤古文教材は、説話・物語・随筆・和歌・日記・軍記・紀行といったジャンルが網羅されてい</w:t>
      </w:r>
      <w:r>
        <w:rPr>
          <w:rFonts w:hint="eastAsia"/>
          <w:sz w:val="20"/>
          <w:szCs w:val="20"/>
        </w:rPr>
        <w:lastRenderedPageBreak/>
        <w:t>る。また、分量も適切で、バランスよく収録・配置されている。</w:t>
      </w:r>
    </w:p>
    <w:p w:rsidR="008A2AB1" w:rsidRDefault="008A2AB1">
      <w:pPr>
        <w:ind w:left="212" w:hanging="210"/>
        <w:rPr>
          <w:rFonts w:ascii="ＭＳ 明朝" w:hAnsiTheme="minorHAnsi" w:cs="Times New Roman"/>
          <w:spacing w:val="2"/>
        </w:rPr>
      </w:pPr>
      <w:r>
        <w:rPr>
          <w:rFonts w:hint="eastAsia"/>
          <w:sz w:val="20"/>
          <w:szCs w:val="20"/>
        </w:rPr>
        <w:t>⑥漢文教材は、故事成語・漢詩・思想・史話・文章・小説といったジャンルが網羅されている。また、分量も適切で、バランスよく収録・配置されている。</w:t>
      </w:r>
    </w:p>
    <w:p w:rsidR="008A2AB1" w:rsidRDefault="008A2AB1">
      <w:pPr>
        <w:ind w:left="212" w:hanging="210"/>
        <w:rPr>
          <w:rFonts w:ascii="ＭＳ 明朝" w:hAnsiTheme="minorHAnsi" w:cs="Times New Roman"/>
          <w:spacing w:val="2"/>
        </w:rPr>
      </w:pPr>
      <w:r>
        <w:rPr>
          <w:rFonts w:hint="eastAsia"/>
          <w:sz w:val="20"/>
          <w:szCs w:val="20"/>
        </w:rPr>
        <w:t>⑦「古典編」は、単元ごとに作品の背景や文法事項についてのコラムが設けられており、それぞれ関連させながら学習を進められるようになっている。</w:t>
      </w:r>
    </w:p>
    <w:p w:rsidR="008A2AB1" w:rsidRDefault="008A2AB1">
      <w:pPr>
        <w:rPr>
          <w:rFonts w:ascii="ＭＳ 明朝" w:hAnsiTheme="minorHAnsi" w:cs="Times New Roman"/>
          <w:spacing w:val="2"/>
        </w:rPr>
      </w:pPr>
    </w:p>
    <w:p w:rsidR="008A2AB1" w:rsidRDefault="008A2AB1">
      <w:pPr>
        <w:rPr>
          <w:rFonts w:ascii="ＭＳ 明朝" w:hAnsiTheme="minorHAnsi" w:cs="Times New Roman"/>
          <w:spacing w:val="2"/>
        </w:rPr>
      </w:pPr>
      <w:r>
        <w:rPr>
          <w:rFonts w:hint="eastAsia"/>
          <w:sz w:val="20"/>
          <w:szCs w:val="20"/>
        </w:rPr>
        <w:t>＜３．表記・表現、及び指導上の工夫＞</w:t>
      </w:r>
    </w:p>
    <w:p w:rsidR="008A2AB1" w:rsidRDefault="008A2AB1">
      <w:pPr>
        <w:ind w:left="212" w:hanging="210"/>
        <w:rPr>
          <w:rFonts w:ascii="ＭＳ 明朝" w:hAnsiTheme="minorHAnsi" w:cs="Times New Roman"/>
          <w:spacing w:val="2"/>
        </w:rPr>
      </w:pPr>
      <w:r>
        <w:rPr>
          <w:rFonts w:hint="eastAsia"/>
          <w:sz w:val="20"/>
          <w:szCs w:val="20"/>
        </w:rPr>
        <w:t>①脚注は分量・内容とも適切である。また、平易な表現で記述されており、生徒の理解を助けるものとなっている。さらに、内容理解の手がかりとなる箇所には、脚問が示されており、授業展開に資するものとなっている。</w:t>
      </w:r>
    </w:p>
    <w:p w:rsidR="008A2AB1" w:rsidRDefault="008A2AB1">
      <w:pPr>
        <w:ind w:left="212" w:hanging="210"/>
        <w:rPr>
          <w:rFonts w:ascii="ＭＳ 明朝" w:hAnsiTheme="minorHAnsi" w:cs="Times New Roman"/>
          <w:spacing w:val="2"/>
        </w:rPr>
      </w:pPr>
      <w:r>
        <w:rPr>
          <w:rFonts w:hint="eastAsia"/>
          <w:sz w:val="20"/>
          <w:szCs w:val="20"/>
        </w:rPr>
        <w:t>②現代文教材・古文教材では、意味や用法に注意して身につけておきたい語句が、脚注欄に抜き出して見開きごとに整理してあり、語彙を定着させるのに有益である。また、漢文教材では、基本句形を見開きごとに整理してあり、さらに、巻末の「漢文の基本形式」で全ての基本句形を例文とともに整理してあるので、句形の学習において利便性が高い。</w:t>
      </w:r>
    </w:p>
    <w:p w:rsidR="008A2AB1" w:rsidRDefault="008A2AB1">
      <w:pPr>
        <w:ind w:left="212" w:hanging="210"/>
        <w:rPr>
          <w:rFonts w:ascii="ＭＳ 明朝" w:hAnsiTheme="minorHAnsi" w:cs="Times New Roman"/>
          <w:spacing w:val="2"/>
        </w:rPr>
      </w:pPr>
      <w:r>
        <w:rPr>
          <w:rFonts w:hint="eastAsia"/>
          <w:sz w:val="20"/>
          <w:szCs w:val="20"/>
        </w:rPr>
        <w:t>③現代文教材の学習課題は「学習の手引き」「言葉と表現」「漢字」で構成されており、内容理解だけでなく、言語事項についても多角的に学習することができる。</w:t>
      </w:r>
      <w:r>
        <w:rPr>
          <w:rFonts w:ascii="ＭＳ 明朝" w:hAnsiTheme="minorHAnsi" w:hint="eastAsia"/>
          <w:sz w:val="20"/>
          <w:szCs w:val="20"/>
        </w:rPr>
        <w:t>また「言葉と表現」には、教材文の表現の仕方を吟味したり、教材から読み取った内容をもとに表現したりする活動も収録されており、</w:t>
      </w:r>
      <w:r>
        <w:rPr>
          <w:rFonts w:hint="eastAsia"/>
          <w:sz w:val="20"/>
          <w:szCs w:val="20"/>
        </w:rPr>
        <w:t>新学習指導要領で示された言語活動を的確に行うことができるよう配慮されている。</w:t>
      </w:r>
    </w:p>
    <w:p w:rsidR="008A2AB1" w:rsidRDefault="008A2AB1">
      <w:pPr>
        <w:ind w:left="212" w:hanging="210"/>
        <w:rPr>
          <w:rFonts w:ascii="ＭＳ 明朝" w:hAnsiTheme="minorHAnsi" w:cs="Times New Roman"/>
          <w:spacing w:val="2"/>
        </w:rPr>
      </w:pPr>
      <w:r>
        <w:rPr>
          <w:rFonts w:hint="eastAsia"/>
          <w:sz w:val="20"/>
          <w:szCs w:val="20"/>
        </w:rPr>
        <w:t>④「古典編」の「学習の手引き」は、内容理解だけでなく、言語事項・漢文句法についても多角的に学習できるようになっている。また、調べ学習や表現活動にも展開できるようになっており、学校の実態に合わせた弾力的な指導が可能になっている。</w:t>
      </w:r>
    </w:p>
    <w:p w:rsidR="008A2AB1" w:rsidRDefault="008A2AB1">
      <w:pPr>
        <w:ind w:left="212" w:hanging="210"/>
        <w:rPr>
          <w:rFonts w:ascii="ＭＳ 明朝" w:hAnsiTheme="minorHAnsi" w:cs="Times New Roman"/>
          <w:spacing w:val="2"/>
        </w:rPr>
      </w:pPr>
      <w:r>
        <w:rPr>
          <w:rFonts w:hint="eastAsia"/>
          <w:sz w:val="20"/>
          <w:szCs w:val="20"/>
        </w:rPr>
        <w:t>⑤表現教材は、活動の手順が具体的かつ簡潔に示され、かつ生徒作品例も挿入されており、生徒にも活動内容が理解しやすく、授業で扱いやすくなっている。</w:t>
      </w:r>
    </w:p>
    <w:p w:rsidR="008A2AB1" w:rsidRDefault="008A2AB1">
      <w:pPr>
        <w:ind w:left="212" w:hanging="210"/>
        <w:rPr>
          <w:rFonts w:ascii="ＭＳ 明朝" w:hAnsiTheme="minorHAnsi" w:cs="Times New Roman"/>
          <w:spacing w:val="2"/>
        </w:rPr>
      </w:pPr>
      <w:r>
        <w:rPr>
          <w:rFonts w:hint="eastAsia"/>
          <w:sz w:val="20"/>
          <w:szCs w:val="20"/>
        </w:rPr>
        <w:t>⑥古典教材では各教材の冒頭に作品の成立年代を示す図版が表示されており、成立年代が視覚的につかめるように工夫されている。</w:t>
      </w:r>
    </w:p>
    <w:p w:rsidR="008A2AB1" w:rsidRDefault="008A2AB1">
      <w:pPr>
        <w:ind w:left="212" w:hanging="210"/>
        <w:rPr>
          <w:rFonts w:ascii="ＭＳ 明朝" w:hAnsiTheme="minorHAnsi" w:cs="Times New Roman"/>
          <w:spacing w:val="2"/>
        </w:rPr>
      </w:pPr>
      <w:r>
        <w:rPr>
          <w:rFonts w:hint="eastAsia"/>
          <w:sz w:val="20"/>
          <w:szCs w:val="20"/>
        </w:rPr>
        <w:t>⑦写真・図版が豊富である。特に、「古典編」ではカラー図版・カラー写真が豊富で、視覚的な学習効果を高めるとともに、生徒の興味関心を喚起するものとなっている。</w:t>
      </w:r>
    </w:p>
    <w:p w:rsidR="008A2AB1" w:rsidRDefault="008A2AB1">
      <w:pPr>
        <w:rPr>
          <w:rFonts w:ascii="ＭＳ 明朝" w:hAnsiTheme="minorHAnsi" w:cs="Times New Roman"/>
          <w:spacing w:val="2"/>
        </w:rPr>
      </w:pPr>
    </w:p>
    <w:p w:rsidR="008A2AB1" w:rsidRDefault="008A2AB1">
      <w:pPr>
        <w:rPr>
          <w:rFonts w:ascii="ＭＳ 明朝" w:hAnsiTheme="minorHAnsi" w:cs="Times New Roman"/>
          <w:spacing w:val="2"/>
        </w:rPr>
      </w:pPr>
      <w:r>
        <w:rPr>
          <w:rFonts w:hint="eastAsia"/>
          <w:sz w:val="20"/>
          <w:szCs w:val="20"/>
        </w:rPr>
        <w:t>＜４．印刷・造本上の配慮＞</w:t>
      </w:r>
    </w:p>
    <w:p w:rsidR="008A2AB1" w:rsidRDefault="008A2AB1">
      <w:pPr>
        <w:ind w:left="212" w:hanging="210"/>
        <w:rPr>
          <w:rFonts w:ascii="ＭＳ 明朝" w:hAnsiTheme="minorHAnsi" w:cs="Times New Roman"/>
          <w:spacing w:val="2"/>
        </w:rPr>
      </w:pPr>
      <w:r>
        <w:rPr>
          <w:rFonts w:hint="eastAsia"/>
          <w:sz w:val="20"/>
          <w:szCs w:val="20"/>
        </w:rPr>
        <w:t>①活字・写真・挿絵は鮮明で、かつレイアウトも工夫されており、学習に取り組みやすい教科書となっている。</w:t>
      </w:r>
    </w:p>
    <w:p w:rsidR="008A2AB1" w:rsidRDefault="008A2AB1">
      <w:pPr>
        <w:ind w:left="212" w:hanging="210"/>
        <w:rPr>
          <w:rFonts w:ascii="ＭＳ 明朝" w:hAnsiTheme="minorHAnsi" w:cs="Times New Roman"/>
          <w:spacing w:val="2"/>
        </w:rPr>
      </w:pPr>
      <w:r>
        <w:rPr>
          <w:rFonts w:hint="eastAsia"/>
          <w:sz w:val="20"/>
          <w:szCs w:val="20"/>
        </w:rPr>
        <w:t>②図の色づかいなどは色覚特性に配慮されたものとなっており、また、用紙が落ち着いた色あいで光の反射も抑えられているため、読みやすい紙面となっている。</w:t>
      </w:r>
    </w:p>
    <w:p w:rsidR="008A2AB1" w:rsidRDefault="008A2AB1">
      <w:pPr>
        <w:ind w:left="212" w:hanging="210"/>
        <w:rPr>
          <w:rFonts w:ascii="ＭＳ 明朝" w:hAnsiTheme="minorHAnsi" w:cs="Times New Roman"/>
          <w:spacing w:val="2"/>
        </w:rPr>
      </w:pPr>
      <w:r>
        <w:rPr>
          <w:rFonts w:hint="eastAsia"/>
          <w:sz w:val="20"/>
          <w:szCs w:val="20"/>
        </w:rPr>
        <w:t>③製本は堅牢である。</w:t>
      </w:r>
    </w:p>
    <w:p w:rsidR="008A2AB1" w:rsidRDefault="008A2AB1">
      <w:pPr>
        <w:ind w:left="212" w:hanging="210"/>
        <w:rPr>
          <w:rFonts w:ascii="ＭＳ 明朝" w:hAnsiTheme="minorHAnsi" w:cs="Times New Roman"/>
          <w:spacing w:val="2"/>
        </w:rPr>
      </w:pPr>
      <w:r>
        <w:rPr>
          <w:rFonts w:hint="eastAsia"/>
          <w:sz w:val="20"/>
          <w:szCs w:val="20"/>
        </w:rPr>
        <w:t>④環境にやさしい用紙と植物油インキが用いられており、地球環境や資源への影響も考慮されている。</w:t>
      </w:r>
    </w:p>
    <w:sectPr w:rsidR="008A2AB1">
      <w:headerReference w:type="default" r:id="rId7"/>
      <w:footerReference w:type="default" r:id="rId8"/>
      <w:type w:val="continuous"/>
      <w:pgSz w:w="11906" w:h="16838"/>
      <w:pgMar w:top="1588" w:right="1700" w:bottom="1588" w:left="1700" w:header="720" w:footer="720" w:gutter="0"/>
      <w:pgNumType w:start="1"/>
      <w:cols w:space="720"/>
      <w:noEndnote/>
      <w:docGrid w:type="linesAndChars" w:linePitch="32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B1" w:rsidRDefault="008A2AB1">
      <w:r>
        <w:separator/>
      </w:r>
    </w:p>
  </w:endnote>
  <w:endnote w:type="continuationSeparator" w:id="0">
    <w:p w:rsidR="008A2AB1" w:rsidRDefault="008A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B1" w:rsidRDefault="008A2AB1">
    <w:pPr>
      <w:framePr w:wrap="auto" w:vAnchor="text" w:hAnchor="margin" w:xAlign="center" w:y="1"/>
      <w:jc w:val="center"/>
      <w:rPr>
        <w:rFonts w:ascii="ＭＳ 明朝" w:hAnsiTheme="minorHAnsi" w:cs="Times New Roman"/>
        <w:spacing w:val="60"/>
        <w:sz w:val="20"/>
        <w:szCs w:val="20"/>
      </w:rPr>
    </w:pP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8333BD">
      <w:rPr>
        <w:rFonts w:cs="Times New Roman"/>
        <w:noProof/>
        <w:sz w:val="20"/>
        <w:szCs w:val="20"/>
      </w:rPr>
      <w:t>1</w:t>
    </w:r>
    <w:r>
      <w:rPr>
        <w:rFonts w:cs="Times New Roman"/>
        <w:sz w:val="20"/>
        <w:szCs w:val="20"/>
      </w:rPr>
      <w:fldChar w:fldCharType="end"/>
    </w:r>
    <w:r>
      <w:rPr>
        <w:rFonts w:cs="Times New Roman"/>
        <w:sz w:val="20"/>
        <w:szCs w:val="20"/>
      </w:rPr>
      <w:t>/</w:t>
    </w:r>
    <w:r>
      <w:rPr>
        <w:rFonts w:cs="Times New Roman"/>
        <w:sz w:val="20"/>
        <w:szCs w:val="20"/>
      </w:rPr>
      <w:fldChar w:fldCharType="begin"/>
    </w:r>
    <w:r>
      <w:rPr>
        <w:rFonts w:cs="Times New Roman"/>
        <w:sz w:val="20"/>
        <w:szCs w:val="20"/>
      </w:rPr>
      <w:instrText>numpages \* MERGEFORMAT</w:instrText>
    </w:r>
    <w:r>
      <w:rPr>
        <w:rFonts w:cs="Times New Roman"/>
        <w:sz w:val="20"/>
        <w:szCs w:val="20"/>
      </w:rPr>
      <w:fldChar w:fldCharType="separate"/>
    </w:r>
    <w:r w:rsidR="008333BD">
      <w:rPr>
        <w:rFonts w:cs="Times New Roman"/>
        <w:noProof/>
        <w:sz w:val="20"/>
        <w:szCs w:val="20"/>
      </w:rPr>
      <w:t>2</w:t>
    </w:r>
    <w:r>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B1" w:rsidRDefault="008A2AB1">
      <w:r>
        <w:rPr>
          <w:rFonts w:ascii="ＭＳ 明朝" w:hAnsiTheme="minorHAnsi" w:cs="Times New Roman"/>
          <w:color w:val="auto"/>
          <w:sz w:val="2"/>
          <w:szCs w:val="2"/>
        </w:rPr>
        <w:continuationSeparator/>
      </w:r>
    </w:p>
  </w:footnote>
  <w:footnote w:type="continuationSeparator" w:id="0">
    <w:p w:rsidR="008A2AB1" w:rsidRDefault="008A2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B1" w:rsidRDefault="008A2AB1">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20"/>
    <w:rsid w:val="00112120"/>
    <w:rsid w:val="008333BD"/>
    <w:rsid w:val="008A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120"/>
    <w:pPr>
      <w:tabs>
        <w:tab w:val="center" w:pos="4252"/>
        <w:tab w:val="right" w:pos="8504"/>
      </w:tabs>
      <w:snapToGrid w:val="0"/>
    </w:pPr>
  </w:style>
  <w:style w:type="character" w:customStyle="1" w:styleId="a4">
    <w:name w:val="ヘッダー (文字)"/>
    <w:basedOn w:val="a0"/>
    <w:link w:val="a3"/>
    <w:uiPriority w:val="99"/>
    <w:locked/>
    <w:rsid w:val="00112120"/>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112120"/>
    <w:pPr>
      <w:tabs>
        <w:tab w:val="center" w:pos="4252"/>
        <w:tab w:val="right" w:pos="8504"/>
      </w:tabs>
      <w:snapToGrid w:val="0"/>
    </w:pPr>
  </w:style>
  <w:style w:type="character" w:customStyle="1" w:styleId="a6">
    <w:name w:val="フッター (文字)"/>
    <w:basedOn w:val="a0"/>
    <w:link w:val="a5"/>
    <w:uiPriority w:val="99"/>
    <w:locked/>
    <w:rsid w:val="00112120"/>
    <w:rPr>
      <w:rFonts w:ascii="Times New Roman" w:eastAsia="ＭＳ 明朝" w:hAnsi="Times New Roman"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120"/>
    <w:pPr>
      <w:tabs>
        <w:tab w:val="center" w:pos="4252"/>
        <w:tab w:val="right" w:pos="8504"/>
      </w:tabs>
      <w:snapToGrid w:val="0"/>
    </w:pPr>
  </w:style>
  <w:style w:type="character" w:customStyle="1" w:styleId="a4">
    <w:name w:val="ヘッダー (文字)"/>
    <w:basedOn w:val="a0"/>
    <w:link w:val="a3"/>
    <w:uiPriority w:val="99"/>
    <w:locked/>
    <w:rsid w:val="00112120"/>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112120"/>
    <w:pPr>
      <w:tabs>
        <w:tab w:val="center" w:pos="4252"/>
        <w:tab w:val="right" w:pos="8504"/>
      </w:tabs>
      <w:snapToGrid w:val="0"/>
    </w:pPr>
  </w:style>
  <w:style w:type="character" w:customStyle="1" w:styleId="a6">
    <w:name w:val="フッター (文字)"/>
    <w:basedOn w:val="a0"/>
    <w:link w:val="a5"/>
    <w:uiPriority w:val="99"/>
    <w:locked/>
    <w:rsid w:val="00112120"/>
    <w:rPr>
      <w:rFonts w:ascii="Times New Roman" w:eastAsia="ＭＳ 明朝" w:hAnsi="Times New Roman"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2012-05-11T12:24:00Z</cp:lastPrinted>
  <dcterms:created xsi:type="dcterms:W3CDTF">2016-05-12T07:16:00Z</dcterms:created>
  <dcterms:modified xsi:type="dcterms:W3CDTF">2016-05-12T07:16:00Z</dcterms:modified>
</cp:coreProperties>
</file>