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355"/>
        <w:gridCol w:w="8839"/>
      </w:tblGrid>
      <w:tr w:rsidR="00CF53E0" w:rsidRPr="005045D5" w:rsidTr="00CD7E92">
        <w:tc>
          <w:tcPr>
            <w:tcW w:w="1355" w:type="dxa"/>
            <w:tcBorders>
              <w:right w:val="single" w:sz="4" w:space="0" w:color="FFFFFF" w:themeColor="background1"/>
            </w:tcBorders>
            <w:shd w:val="clear" w:color="auto" w:fill="5B9BD5" w:themeFill="accent1"/>
            <w:tcMar>
              <w:top w:w="28" w:type="dxa"/>
              <w:bottom w:w="28" w:type="dxa"/>
            </w:tcMar>
          </w:tcPr>
          <w:p w:rsidR="00CF53E0" w:rsidRPr="005067C6" w:rsidRDefault="00CF53E0" w:rsidP="00E332A3">
            <w:pPr>
              <w:topLinePunct/>
              <w:jc w:val="center"/>
              <w:rPr>
                <w:rFonts w:ascii="Arial Rounded MT Bold" w:eastAsia="HGｺﾞｼｯｸE" w:hAnsi="Arial Rounded MT Bold"/>
                <w:color w:val="FFFFFF" w:themeColor="background1"/>
              </w:rPr>
            </w:pPr>
            <w:r w:rsidRPr="005067C6">
              <w:rPr>
                <w:rFonts w:ascii="Arial Rounded MT Bold" w:eastAsia="HGｺﾞｼｯｸE" w:hAnsi="Arial Rounded MT Bold"/>
                <w:color w:val="FFFFFF" w:themeColor="background1"/>
              </w:rPr>
              <w:t>検討の観点</w:t>
            </w:r>
          </w:p>
        </w:tc>
        <w:tc>
          <w:tcPr>
            <w:tcW w:w="8838" w:type="dxa"/>
            <w:tcBorders>
              <w:left w:val="single" w:sz="4" w:space="0" w:color="FFFFFF" w:themeColor="background1"/>
            </w:tcBorders>
            <w:shd w:val="clear" w:color="auto" w:fill="5B9BD5" w:themeFill="accent1"/>
            <w:tcMar>
              <w:top w:w="28" w:type="dxa"/>
              <w:bottom w:w="28" w:type="dxa"/>
            </w:tcMar>
          </w:tcPr>
          <w:p w:rsidR="00CF53E0" w:rsidRPr="005067C6" w:rsidRDefault="00CF53E0" w:rsidP="00E332A3">
            <w:pPr>
              <w:topLinePunct/>
              <w:jc w:val="center"/>
              <w:rPr>
                <w:rFonts w:ascii="HGｺﾞｼｯｸE" w:eastAsia="HGｺﾞｼｯｸE" w:hAnsi="HGｺﾞｼｯｸE"/>
                <w:color w:val="FFFFFF" w:themeColor="background1"/>
              </w:rPr>
            </w:pPr>
            <w:r w:rsidRPr="005067C6">
              <w:rPr>
                <w:rFonts w:ascii="HGｺﾞｼｯｸE" w:eastAsia="HGｺﾞｼｯｸE" w:hAnsi="HGｺﾞｼｯｸE" w:hint="eastAsia"/>
                <w:color w:val="FFFFFF" w:themeColor="background1"/>
              </w:rPr>
              <w:t>内容の特色</w:t>
            </w:r>
          </w:p>
        </w:tc>
      </w:tr>
      <w:tr w:rsidR="00CF53E0" w:rsidRPr="005045D5" w:rsidTr="00CD7E92">
        <w:tc>
          <w:tcPr>
            <w:tcW w:w="1355" w:type="dxa"/>
            <w:tcMar>
              <w:top w:w="85" w:type="dxa"/>
              <w:bottom w:w="85" w:type="dxa"/>
            </w:tcMar>
          </w:tcPr>
          <w:p w:rsidR="00CF53E0" w:rsidRPr="005067C6" w:rsidRDefault="002222C4" w:rsidP="00E332A3">
            <w:pPr>
              <w:topLinePunct/>
              <w:jc w:val="left"/>
              <w:rPr>
                <w:rFonts w:ascii="Arial Rounded MT Bold" w:eastAsia="HGｺﾞｼｯｸE" w:hAnsi="Arial Rounded MT Bold"/>
              </w:rPr>
            </w:pPr>
            <w:r>
              <w:rPr>
                <w:rFonts w:ascii="Arial Rounded MT Bold" w:eastAsia="HGｺﾞｼｯｸE" w:hAnsi="Arial Rounded MT Bold"/>
              </w:rPr>
              <w:t>1.</w:t>
            </w:r>
            <w:r w:rsidRPr="002222C4">
              <w:rPr>
                <w:rFonts w:ascii="Arial Rounded MT Bold" w:eastAsia="HGｺﾞｼｯｸE" w:hAnsi="Arial Rounded MT Bold"/>
                <w:sz w:val="9"/>
                <w:szCs w:val="9"/>
              </w:rPr>
              <w:t xml:space="preserve"> </w:t>
            </w:r>
            <w:r w:rsidR="00CF53E0" w:rsidRPr="005067C6">
              <w:rPr>
                <w:rFonts w:ascii="Arial Rounded MT Bold" w:eastAsia="HGｺﾞｼｯｸE" w:hAnsi="Arial Rounded MT Bold"/>
              </w:rPr>
              <w:t>内容</w:t>
            </w:r>
          </w:p>
        </w:tc>
        <w:tc>
          <w:tcPr>
            <w:tcW w:w="8839" w:type="dxa"/>
            <w:tcMar>
              <w:top w:w="85" w:type="dxa"/>
              <w:bottom w:w="85" w:type="dxa"/>
            </w:tcMar>
          </w:tcPr>
          <w:p w:rsidR="00CF53E0" w:rsidRPr="005067C6" w:rsidRDefault="00750D07" w:rsidP="00750D07">
            <w:pPr>
              <w:pBdr>
                <w:top w:val="single" w:sz="4" w:space="1" w:color="auto"/>
                <w:left w:val="single" w:sz="4" w:space="4" w:color="auto"/>
                <w:bottom w:val="single" w:sz="4" w:space="1" w:color="auto"/>
                <w:right w:val="single" w:sz="4" w:space="4" w:color="auto"/>
              </w:pBdr>
              <w:topLinePunct/>
              <w:spacing w:beforeLines="30" w:before="102"/>
              <w:ind w:leftChars="100" w:left="210" w:rightChars="100" w:right="210"/>
              <w:rPr>
                <w:rFonts w:ascii="HGｺﾞｼｯｸE" w:eastAsia="HGｺﾞｼｯｸE" w:hAnsi="HGｺﾞｼｯｸE"/>
                <w:color w:val="2E74B5" w:themeColor="accent1" w:themeShade="BF"/>
              </w:rPr>
            </w:pPr>
            <w:r w:rsidRPr="00750D07">
              <w:rPr>
                <w:rFonts w:ascii="HGｺﾞｼｯｸE" w:eastAsia="HGｺﾞｼｯｸE" w:hAnsi="HGｺﾞｼｯｸE" w:hint="eastAsia"/>
                <w:color w:val="2E74B5" w:themeColor="accent1" w:themeShade="BF"/>
              </w:rPr>
              <w:t>授業づくりがスムーズなジャンル別・文種別の単元構成</w:t>
            </w:r>
            <w:r w:rsidR="00316A9D" w:rsidRPr="005067C6">
              <w:rPr>
                <w:rFonts w:ascii="HGｺﾞｼｯｸE" w:eastAsia="HGｺﾞｼｯｸE" w:hAnsi="HGｺﾞｼｯｸE" w:hint="eastAsia"/>
                <w:color w:val="2E74B5" w:themeColor="accent1" w:themeShade="BF"/>
              </w:rPr>
              <w:t>である。</w:t>
            </w:r>
          </w:p>
          <w:p w:rsidR="00CF53E0" w:rsidRPr="005045D5" w:rsidRDefault="00750D07" w:rsidP="00750D07">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Pr>
                <w:rFonts w:hint="eastAsia"/>
              </w:rPr>
              <w:t xml:space="preserve"> </w:t>
            </w:r>
            <w:r>
              <w:rPr>
                <w:rFonts w:hint="eastAsia"/>
              </w:rPr>
              <w:t>「古文編」「漢文編」「近代以降の文章編」の各編は文種別に教材が配列されており、使い慣れた構成で、カリキュラムや授業が組み立てやすくなっている</w:t>
            </w:r>
            <w:r w:rsidR="00CF53E0" w:rsidRPr="005045D5">
              <w:rPr>
                <w:rFonts w:hint="eastAsia"/>
              </w:rPr>
              <w:t>。</w:t>
            </w:r>
          </w:p>
          <w:p w:rsidR="00CF53E0" w:rsidRPr="005067C6" w:rsidRDefault="00750D07" w:rsidP="00750D07">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750D07">
              <w:rPr>
                <w:rFonts w:ascii="HGｺﾞｼｯｸE" w:eastAsia="HGｺﾞｼｯｸE" w:hAnsi="HGｺﾞｼｯｸE" w:hint="eastAsia"/>
                <w:color w:val="2E74B5" w:themeColor="accent1" w:themeShade="BF"/>
              </w:rPr>
              <w:t>日本の言語文化を重層的に学べる多彩な古典・文学教材</w:t>
            </w:r>
            <w:r w:rsidR="00893FB4">
              <w:rPr>
                <w:rFonts w:ascii="HGｺﾞｼｯｸE" w:eastAsia="HGｺﾞｼｯｸE" w:hAnsi="HGｺﾞｼｯｸE" w:hint="eastAsia"/>
                <w:color w:val="2E74B5" w:themeColor="accent1" w:themeShade="BF"/>
              </w:rPr>
              <w:t>が採録</w:t>
            </w:r>
            <w:r w:rsidR="00316A9D" w:rsidRPr="005067C6">
              <w:rPr>
                <w:rFonts w:ascii="HGｺﾞｼｯｸE" w:eastAsia="HGｺﾞｼｯｸE" w:hAnsi="HGｺﾞｼｯｸE" w:hint="eastAsia"/>
                <w:color w:val="2E74B5" w:themeColor="accent1" w:themeShade="BF"/>
              </w:rPr>
              <w:t>されている。</w:t>
            </w:r>
          </w:p>
          <w:p w:rsidR="00CF53E0" w:rsidRPr="005045D5" w:rsidRDefault="00316A9D" w:rsidP="00750D07">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5045D5">
              <w:rPr>
                <w:rFonts w:hint="eastAsia"/>
              </w:rPr>
              <w:t xml:space="preserve">　</w:t>
            </w:r>
            <w:r w:rsidR="00750D07">
              <w:rPr>
                <w:rFonts w:hint="eastAsia"/>
              </w:rPr>
              <w:t>古典</w:t>
            </w:r>
            <w:r w:rsidR="007D231D">
              <w:rPr>
                <w:rFonts w:hint="eastAsia"/>
              </w:rPr>
              <w:t>から現代小説まで、国語教育における実績と蓄積のある多彩な作品群</w:t>
            </w:r>
            <w:r w:rsidR="00750D07">
              <w:rPr>
                <w:rFonts w:hint="eastAsia"/>
              </w:rPr>
              <w:t>が掲載されており、日本の言語文化を、時代の積み重ねとともに学ぶことができる</w:t>
            </w:r>
            <w:r w:rsidR="00CF53E0" w:rsidRPr="005045D5">
              <w:rPr>
                <w:rFonts w:hint="eastAsia"/>
              </w:rPr>
              <w:t>。</w:t>
            </w:r>
          </w:p>
          <w:p w:rsidR="00CF53E0" w:rsidRPr="005067C6" w:rsidRDefault="00CF53E0" w:rsidP="00E332A3">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5067C6">
              <w:rPr>
                <w:rFonts w:ascii="HGｺﾞｼｯｸE" w:eastAsia="HGｺﾞｼｯｸE" w:hAnsi="HGｺﾞｼｯｸE" w:hint="eastAsia"/>
                <w:color w:val="2E74B5" w:themeColor="accent1" w:themeShade="BF"/>
              </w:rPr>
              <w:t>読解を表現に広げる充実した言語活動</w:t>
            </w:r>
            <w:r w:rsidR="00316A9D" w:rsidRPr="005067C6">
              <w:rPr>
                <w:rFonts w:ascii="HGｺﾞｼｯｸE" w:eastAsia="HGｺﾞｼｯｸE" w:hAnsi="HGｺﾞｼｯｸE" w:hint="eastAsia"/>
                <w:color w:val="2E74B5" w:themeColor="accent1" w:themeShade="BF"/>
              </w:rPr>
              <w:t>が設定されている。</w:t>
            </w:r>
          </w:p>
          <w:p w:rsidR="00CF53E0" w:rsidRPr="005045D5" w:rsidRDefault="00316A9D" w:rsidP="00750D07">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5045D5">
              <w:rPr>
                <w:rFonts w:hint="eastAsia"/>
              </w:rPr>
              <w:t xml:space="preserve">　</w:t>
            </w:r>
            <w:r w:rsidR="007D231D">
              <w:rPr>
                <w:rFonts w:hint="eastAsia"/>
              </w:rPr>
              <w:t>随所に「学びを広げる」が配置され、</w:t>
            </w:r>
            <w:r w:rsidR="00750D07">
              <w:rPr>
                <w:rFonts w:hint="eastAsia"/>
              </w:rPr>
              <w:t>教材と関連した作品との比べ読みのほか、小説の書き換え、短歌・俳句の創作などの言語活動にも取り組むことができる</w:t>
            </w:r>
            <w:r w:rsidR="00CF53E0" w:rsidRPr="005045D5">
              <w:rPr>
                <w:rFonts w:hint="eastAsia"/>
              </w:rPr>
              <w:t>。</w:t>
            </w:r>
          </w:p>
          <w:p w:rsidR="00CF53E0" w:rsidRPr="005067C6" w:rsidRDefault="00750D07" w:rsidP="00750D07">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750D07">
              <w:rPr>
                <w:rFonts w:ascii="HGｺﾞｼｯｸE" w:eastAsia="HGｺﾞｼｯｸE" w:hAnsi="HGｺﾞｼｯｸE" w:hint="eastAsia"/>
                <w:color w:val="2E74B5" w:themeColor="accent1" w:themeShade="BF"/>
              </w:rPr>
              <w:t>知識・技能の確実な定着</w:t>
            </w:r>
            <w:r>
              <w:rPr>
                <w:rFonts w:ascii="HGｺﾞｼｯｸE" w:eastAsia="HGｺﾞｼｯｸE" w:hAnsi="HGｺﾞｼｯｸE" w:hint="eastAsia"/>
                <w:color w:val="2E74B5" w:themeColor="accent1" w:themeShade="BF"/>
              </w:rPr>
              <w:t>を図る豊富なコラムが</w:t>
            </w:r>
            <w:r w:rsidR="00316A9D" w:rsidRPr="005067C6">
              <w:rPr>
                <w:rFonts w:ascii="HGｺﾞｼｯｸE" w:eastAsia="HGｺﾞｼｯｸE" w:hAnsi="HGｺﾞｼｯｸE" w:hint="eastAsia"/>
                <w:color w:val="2E74B5" w:themeColor="accent1" w:themeShade="BF"/>
              </w:rPr>
              <w:t>掲載されている。</w:t>
            </w:r>
          </w:p>
          <w:p w:rsidR="00316A9D" w:rsidRPr="005045D5" w:rsidRDefault="00316A9D" w:rsidP="00750D07">
            <w:pPr>
              <w:pBdr>
                <w:top w:val="single" w:sz="4" w:space="1" w:color="auto"/>
                <w:left w:val="single" w:sz="4" w:space="4" w:color="auto"/>
                <w:bottom w:val="single" w:sz="4" w:space="1" w:color="auto"/>
                <w:right w:val="single" w:sz="4" w:space="4" w:color="auto"/>
              </w:pBdr>
              <w:topLinePunct/>
              <w:spacing w:afterLines="100" w:after="340"/>
              <w:ind w:leftChars="100" w:left="390" w:rightChars="100" w:right="210" w:hangingChars="100" w:hanging="180"/>
            </w:pPr>
            <w:r w:rsidRPr="005045D5">
              <w:rPr>
                <w:rFonts w:hint="eastAsia"/>
              </w:rPr>
              <w:t xml:space="preserve">　</w:t>
            </w:r>
            <w:r w:rsidR="00750D07">
              <w:rPr>
                <w:rFonts w:hint="eastAsia"/>
              </w:rPr>
              <w:t>文法や句法、読解の方略などをわかりやすくまとめたコラムが豊富に掲載され、教材の読解を深めるとともに、知識・技能の確実な定着を図ることができる</w:t>
            </w:r>
            <w:r w:rsidR="00CF53E0" w:rsidRPr="005045D5">
              <w:rPr>
                <w:rFonts w:hint="eastAsia"/>
              </w:rPr>
              <w:t>。</w:t>
            </w:r>
          </w:p>
          <w:p w:rsidR="00316A9D" w:rsidRPr="005067C6" w:rsidRDefault="00316A9D" w:rsidP="00E332A3">
            <w:pPr>
              <w:topLinePunct/>
              <w:ind w:left="180" w:hangingChars="100" w:hanging="180"/>
              <w:rPr>
                <w:rFonts w:ascii="HGｺﾞｼｯｸE" w:eastAsia="HGｺﾞｼｯｸE" w:hAnsi="HGｺﾞｼｯｸE"/>
              </w:rPr>
            </w:pPr>
            <w:r w:rsidRPr="005067C6">
              <w:rPr>
                <w:rFonts w:ascii="ＭＳ 明朝" w:eastAsia="ＭＳ 明朝" w:hAnsi="ＭＳ 明朝" w:cs="ＭＳ 明朝" w:hint="eastAsia"/>
                <w:color w:val="2E74B5" w:themeColor="accent1" w:themeShade="BF"/>
              </w:rPr>
              <w:t>➊</w:t>
            </w:r>
            <w:r w:rsidR="00750D07" w:rsidRPr="00A143B7">
              <w:rPr>
                <w:rFonts w:ascii="HGｺﾞｼｯｸE" w:eastAsia="HGｺﾞｼｯｸE" w:hAnsi="HGｺﾞｼｯｸE" w:hint="eastAsia"/>
              </w:rPr>
              <w:t>生涯にわたる社会生活</w:t>
            </w:r>
            <w:r w:rsidRPr="00A143B7">
              <w:rPr>
                <w:rFonts w:ascii="HGｺﾞｼｯｸE" w:eastAsia="HGｺﾞｼｯｸE" w:hAnsi="HGｺﾞｼｯｸE"/>
              </w:rPr>
              <w:t>に必要な国語の</w:t>
            </w:r>
            <w:r w:rsidR="000F5D24" w:rsidRPr="00A143B7">
              <w:rPr>
                <w:rFonts w:ascii="HGｺﾞｼｯｸE" w:eastAsia="HGｺﾞｼｯｸE" w:hAnsi="HGｺﾞｼｯｸE" w:hint="eastAsia"/>
              </w:rPr>
              <w:t>力</w:t>
            </w:r>
            <w:r w:rsidRPr="005067C6">
              <w:rPr>
                <w:rFonts w:ascii="HGｺﾞｼｯｸE" w:eastAsia="HGｺﾞｼｯｸE" w:hAnsi="HGｺﾞｼｯｸE"/>
              </w:rPr>
              <w:t>を身につけ</w:t>
            </w:r>
            <w:r w:rsidR="00636298" w:rsidRPr="005067C6">
              <w:rPr>
                <w:rFonts w:ascii="HGｺﾞｼｯｸE" w:eastAsia="HGｺﾞｼｯｸE" w:hAnsi="HGｺﾞｼｯｸE" w:hint="eastAsia"/>
              </w:rPr>
              <w:t>るための系統的な</w:t>
            </w:r>
            <w:r w:rsidR="00436055" w:rsidRPr="005067C6">
              <w:rPr>
                <w:rFonts w:ascii="HGｺﾞｼｯｸE" w:eastAsia="HGｺﾞｼｯｸE" w:hAnsi="HGｺﾞｼｯｸE" w:hint="eastAsia"/>
              </w:rPr>
              <w:t>教材配列になっている</w:t>
            </w:r>
            <w:r w:rsidRPr="005067C6">
              <w:rPr>
                <w:rFonts w:ascii="HGｺﾞｼｯｸE" w:eastAsia="HGｺﾞｼｯｸE" w:hAnsi="HGｺﾞｼｯｸE"/>
              </w:rPr>
              <w:t>。</w:t>
            </w:r>
          </w:p>
          <w:p w:rsidR="00A143B7" w:rsidRPr="005045D5" w:rsidRDefault="00A143B7" w:rsidP="00E332A3">
            <w:pPr>
              <w:topLinePunct/>
              <w:ind w:leftChars="100" w:left="210" w:firstLineChars="100" w:firstLine="180"/>
            </w:pPr>
            <w:r w:rsidRPr="00A143B7">
              <w:rPr>
                <w:rFonts w:hint="eastAsia"/>
              </w:rPr>
              <w:t>中学校国語科における学習の成果をふまえて、高校生として望ましい国語の力を身につけ、習得した力が日常生活の中で生きてはたらくよう、発達段階に即して系統的に教材が配列されている。特に、古文編・漢文編の冒頭の単元は、入門期であることをふまえ、生徒が興味をもって意欲的に取り組むことができるよう工夫されている。</w:t>
            </w:r>
          </w:p>
          <w:p w:rsidR="00316A9D" w:rsidRPr="00A143B7" w:rsidRDefault="00316A9D" w:rsidP="00E332A3">
            <w:pPr>
              <w:topLinePunct/>
              <w:ind w:left="180" w:hangingChars="100" w:hanging="180"/>
              <w:rPr>
                <w:rFonts w:ascii="HGｺﾞｼｯｸE" w:eastAsia="HGｺﾞｼｯｸE" w:hAnsi="HGｺﾞｼｯｸE"/>
              </w:rPr>
            </w:pPr>
            <w:r w:rsidRPr="005067C6">
              <w:rPr>
                <w:rFonts w:ascii="ＭＳ 明朝" w:eastAsia="ＭＳ 明朝" w:hAnsi="ＭＳ 明朝" w:cs="ＭＳ 明朝" w:hint="eastAsia"/>
                <w:color w:val="2E74B5" w:themeColor="accent1" w:themeShade="BF"/>
              </w:rPr>
              <w:t>➋</w:t>
            </w:r>
            <w:r w:rsidR="002C6EE4" w:rsidRPr="00A143B7">
              <w:rPr>
                <w:rFonts w:ascii="HGｺﾞｼｯｸE" w:eastAsia="HGｺﾞｼｯｸE" w:hAnsi="HGｺﾞｼｯｸE" w:hint="eastAsia"/>
              </w:rPr>
              <w:t>感性豊かに人間の姿や心情を描いた、想像力を刺激する魅力あふれる</w:t>
            </w:r>
            <w:r w:rsidRPr="00A143B7">
              <w:rPr>
                <w:rFonts w:ascii="HGｺﾞｼｯｸE" w:eastAsia="HGｺﾞｼｯｸE" w:hAnsi="HGｺﾞｼｯｸE"/>
              </w:rPr>
              <w:t>教材</w:t>
            </w:r>
            <w:r w:rsidR="00436055" w:rsidRPr="00A143B7">
              <w:rPr>
                <w:rFonts w:ascii="HGｺﾞｼｯｸE" w:eastAsia="HGｺﾞｼｯｸE" w:hAnsi="HGｺﾞｼｯｸE" w:hint="eastAsia"/>
              </w:rPr>
              <w:t>が選定されている</w:t>
            </w:r>
            <w:r w:rsidRPr="00A143B7">
              <w:rPr>
                <w:rFonts w:ascii="HGｺﾞｼｯｸE" w:eastAsia="HGｺﾞｼｯｸE" w:hAnsi="HGｺﾞｼｯｸE"/>
              </w:rPr>
              <w:t>。</w:t>
            </w:r>
          </w:p>
          <w:p w:rsidR="000F5D24" w:rsidRPr="005045D5" w:rsidRDefault="002C6EE4" w:rsidP="00E332A3">
            <w:pPr>
              <w:topLinePunct/>
              <w:ind w:leftChars="100" w:left="210" w:firstLineChars="100" w:firstLine="180"/>
            </w:pPr>
            <w:r w:rsidRPr="00A143B7">
              <w:rPr>
                <w:rFonts w:hint="eastAsia"/>
              </w:rPr>
              <w:t>日本の言語文化の諸相を幅広く取り上げ、人間の普遍的な生き方や心情を情緒豊かに表現した作品を教材化することにより、さまざまな角度から言語文化の諸側面にふれ、日本の伝統文化について理解を深めることができるよう配慮されている。特に、古典の現代的意義を日常の言語活動に即して把握できるよう、言葉の音声的側面や、古典作品と近代以降の作品とのつながりが感じられる教材・言語活動を積極的に採録している。</w:t>
            </w:r>
          </w:p>
          <w:p w:rsidR="00316A9D" w:rsidRPr="005067C6" w:rsidRDefault="009E72D7" w:rsidP="00E332A3">
            <w:pPr>
              <w:topLinePunct/>
              <w:ind w:left="180" w:hangingChars="100" w:hanging="180"/>
              <w:rPr>
                <w:rFonts w:ascii="HGｺﾞｼｯｸE" w:eastAsia="HGｺﾞｼｯｸE" w:hAnsi="HGｺﾞｼｯｸE"/>
              </w:rPr>
            </w:pPr>
            <w:r w:rsidRPr="005067C6">
              <w:rPr>
                <w:rFonts w:ascii="ＭＳ 明朝" w:eastAsia="ＭＳ 明朝" w:hAnsi="ＭＳ 明朝" w:cs="ＭＳ 明朝" w:hint="eastAsia"/>
                <w:color w:val="2E74B5" w:themeColor="accent1" w:themeShade="BF"/>
              </w:rPr>
              <w:t>➌</w:t>
            </w:r>
            <w:r w:rsidR="00316A9D" w:rsidRPr="005067C6">
              <w:rPr>
                <w:rFonts w:ascii="HGｺﾞｼｯｸE" w:eastAsia="HGｺﾞｼｯｸE" w:hAnsi="HGｺﾞｼｯｸE"/>
              </w:rPr>
              <w:t>定評ある教材と現代的話題の</w:t>
            </w:r>
            <w:r w:rsidR="001B7236" w:rsidRPr="005067C6">
              <w:rPr>
                <w:rFonts w:ascii="HGｺﾞｼｯｸE" w:eastAsia="HGｺﾞｼｯｸE" w:hAnsi="HGｺﾞｼｯｸE"/>
              </w:rPr>
              <w:t>清新な</w:t>
            </w:r>
            <w:r w:rsidR="00316A9D" w:rsidRPr="005067C6">
              <w:rPr>
                <w:rFonts w:ascii="HGｺﾞｼｯｸE" w:eastAsia="HGｺﾞｼｯｸE" w:hAnsi="HGｺﾞｼｯｸE"/>
              </w:rPr>
              <w:t>教材</w:t>
            </w:r>
            <w:r w:rsidR="001B7236" w:rsidRPr="005067C6">
              <w:rPr>
                <w:rFonts w:ascii="HGｺﾞｼｯｸE" w:eastAsia="HGｺﾞｼｯｸE" w:hAnsi="HGｺﾞｼｯｸE" w:hint="eastAsia"/>
              </w:rPr>
              <w:t>がバランスよく配置されている</w:t>
            </w:r>
            <w:r w:rsidR="00316A9D" w:rsidRPr="005067C6">
              <w:rPr>
                <w:rFonts w:ascii="HGｺﾞｼｯｸE" w:eastAsia="HGｺﾞｼｯｸE" w:hAnsi="HGｺﾞｼｯｸE"/>
              </w:rPr>
              <w:t>。</w:t>
            </w:r>
          </w:p>
          <w:p w:rsidR="00A143B7" w:rsidRPr="00DA1061" w:rsidRDefault="00A143B7" w:rsidP="00A143B7">
            <w:pPr>
              <w:topLinePunct/>
              <w:ind w:leftChars="100" w:left="210" w:firstLineChars="100" w:firstLine="180"/>
            </w:pPr>
            <w:r w:rsidRPr="00DA1061">
              <w:rPr>
                <w:rFonts w:hint="eastAsia"/>
              </w:rPr>
              <w:t>従来から定評のある教材を機軸としながら、特に、</w:t>
            </w:r>
            <w:r w:rsidRPr="00A143B7">
              <w:rPr>
                <w:rFonts w:hint="eastAsia"/>
              </w:rPr>
              <w:t>近代以降の文章編</w:t>
            </w:r>
            <w:r w:rsidRPr="00DA1061">
              <w:rPr>
                <w:rFonts w:hint="eastAsia"/>
              </w:rPr>
              <w:t>では、現代的話題に満ちた作品が教材化されており、生徒の興味・関心を喚起できるよう工夫されている。</w:t>
            </w:r>
          </w:p>
          <w:p w:rsidR="00316A9D" w:rsidRPr="005067C6" w:rsidRDefault="009E72D7" w:rsidP="00E332A3">
            <w:pPr>
              <w:topLinePunct/>
              <w:ind w:left="180" w:hangingChars="100" w:hanging="180"/>
              <w:rPr>
                <w:rFonts w:ascii="HGｺﾞｼｯｸE" w:eastAsia="HGｺﾞｼｯｸE" w:hAnsi="HGｺﾞｼｯｸE"/>
              </w:rPr>
            </w:pPr>
            <w:r w:rsidRPr="005067C6">
              <w:rPr>
                <w:rFonts w:ascii="ＭＳ 明朝" w:eastAsia="ＭＳ 明朝" w:hAnsi="ＭＳ 明朝" w:cs="ＭＳ 明朝" w:hint="eastAsia"/>
                <w:color w:val="2E74B5" w:themeColor="accent1" w:themeShade="BF"/>
              </w:rPr>
              <w:t>➍</w:t>
            </w:r>
            <w:r w:rsidRPr="005067C6">
              <w:rPr>
                <w:rFonts w:ascii="HGｺﾞｼｯｸE" w:eastAsia="HGｺﾞｼｯｸE" w:hAnsi="HGｺﾞｼｯｸE" w:hint="eastAsia"/>
              </w:rPr>
              <w:t>日常生活において</w:t>
            </w:r>
            <w:r w:rsidR="00473838" w:rsidRPr="005067C6">
              <w:rPr>
                <w:rFonts w:ascii="HGｺﾞｼｯｸE" w:eastAsia="HGｺﾞｼｯｸE" w:hAnsi="HGｺﾞｼｯｸE" w:hint="eastAsia"/>
              </w:rPr>
              <w:t>必要な言語能力を</w:t>
            </w:r>
            <w:r w:rsidRPr="005067C6">
              <w:rPr>
                <w:rFonts w:ascii="HGｺﾞｼｯｸE" w:eastAsia="HGｺﾞｼｯｸE" w:hAnsi="HGｺﾞｼｯｸE" w:hint="eastAsia"/>
              </w:rPr>
              <w:t>身につけられる、具体的・実践的な言語活動が設定されている。</w:t>
            </w:r>
          </w:p>
          <w:p w:rsidR="00A143B7" w:rsidRPr="005045D5" w:rsidRDefault="00A143B7" w:rsidP="00A143B7">
            <w:pPr>
              <w:topLinePunct/>
              <w:ind w:leftChars="100" w:left="210" w:firstLineChars="100" w:firstLine="180"/>
            </w:pPr>
            <w:r w:rsidRPr="00DA1061">
              <w:rPr>
                <w:rFonts w:hint="eastAsia"/>
              </w:rPr>
              <w:t>単元のテーマに即した言語活動「学びを広げる」が設定され、適切に表現する能力を育成し、伝え合う力を高められるようになっている。多様な表現活動を支えるための情報収集や</w:t>
            </w:r>
            <w:r w:rsidRPr="00A143B7">
              <w:rPr>
                <w:rFonts w:hint="eastAsia"/>
              </w:rPr>
              <w:t>辞書・事典等</w:t>
            </w:r>
            <w:r w:rsidRPr="00DA1061">
              <w:rPr>
                <w:rFonts w:hint="eastAsia"/>
              </w:rPr>
              <w:t>の活用にも配慮され、総合的な学習ができるよう工夫されている。また、作文例や発表例などの模範を示すだけでなく、言語活動の具体的な展開</w:t>
            </w:r>
            <w:r w:rsidRPr="005045D5">
              <w:rPr>
                <w:rFonts w:hint="eastAsia"/>
              </w:rPr>
              <w:t>を教室での実践に即したかたちで提示することによって、生徒が主体的に言語学習に取り組めるようになっている。</w:t>
            </w:r>
          </w:p>
          <w:p w:rsidR="00B03CF6" w:rsidRPr="005067C6" w:rsidRDefault="00B03CF6" w:rsidP="00E332A3">
            <w:pPr>
              <w:topLinePunct/>
              <w:ind w:left="180" w:hangingChars="100" w:hanging="180"/>
              <w:rPr>
                <w:rFonts w:ascii="HGｺﾞｼｯｸE" w:eastAsia="HGｺﾞｼｯｸE" w:hAnsi="HGｺﾞｼｯｸE"/>
              </w:rPr>
            </w:pPr>
            <w:r w:rsidRPr="005067C6">
              <w:rPr>
                <w:rFonts w:ascii="ＭＳ 明朝" w:eastAsia="ＭＳ 明朝" w:hAnsi="ＭＳ 明朝" w:cs="ＭＳ 明朝" w:hint="eastAsia"/>
                <w:color w:val="2E74B5" w:themeColor="accent1" w:themeShade="BF"/>
              </w:rPr>
              <w:t>➎</w:t>
            </w:r>
            <w:r w:rsidRPr="005067C6">
              <w:rPr>
                <w:rFonts w:ascii="HGｺﾞｼｯｸE" w:eastAsia="HGｺﾞｼｯｸE" w:hAnsi="HGｺﾞｼｯｸE" w:hint="eastAsia"/>
              </w:rPr>
              <w:t>言語文化の担い手として、読書</w:t>
            </w:r>
            <w:r w:rsidRPr="005067C6">
              <w:rPr>
                <w:rFonts w:ascii="HGｺﾞｼｯｸE" w:eastAsia="HGｺﾞｼｯｸE" w:hAnsi="HGｺﾞｼｯｸE"/>
              </w:rPr>
              <w:t>に親しみ、知識と教養を広げること</w:t>
            </w:r>
            <w:r w:rsidRPr="005067C6">
              <w:rPr>
                <w:rFonts w:ascii="HGｺﾞｼｯｸE" w:eastAsia="HGｺﾞｼｯｸE" w:hAnsi="HGｺﾞｼｯｸE" w:hint="eastAsia"/>
              </w:rPr>
              <w:t>ができ</w:t>
            </w:r>
            <w:r w:rsidRPr="005067C6">
              <w:rPr>
                <w:rFonts w:ascii="HGｺﾞｼｯｸE" w:eastAsia="HGｺﾞｼｯｸE" w:hAnsi="HGｺﾞｼｯｸE"/>
              </w:rPr>
              <w:t>る。</w:t>
            </w:r>
          </w:p>
          <w:p w:rsidR="00B03CF6" w:rsidRPr="005045D5" w:rsidRDefault="00A143B7" w:rsidP="00E332A3">
            <w:pPr>
              <w:topLinePunct/>
              <w:ind w:leftChars="100" w:left="210" w:firstLineChars="100" w:firstLine="180"/>
            </w:pPr>
            <w:r w:rsidRPr="00A143B7">
              <w:rPr>
                <w:rFonts w:hint="eastAsia"/>
              </w:rPr>
              <w:t>単元で学習したことをもとに、実生活との関わりの中で読書に親しむことができるよう、全単元に「ブックガイド」が設定されている。読書の意義と効用について理解を深め、幅広い知識と教養を身につけるとともに、真理を求める態度を養うことができるよう工夫されている。</w:t>
            </w:r>
          </w:p>
        </w:tc>
      </w:tr>
      <w:tr w:rsidR="00473838" w:rsidRPr="005045D5" w:rsidTr="00CD7E92">
        <w:tc>
          <w:tcPr>
            <w:tcW w:w="1355" w:type="dxa"/>
            <w:tcMar>
              <w:top w:w="85" w:type="dxa"/>
              <w:bottom w:w="85" w:type="dxa"/>
            </w:tcMar>
          </w:tcPr>
          <w:p w:rsidR="00473838" w:rsidRPr="005067C6" w:rsidRDefault="00473838" w:rsidP="00E332A3">
            <w:pPr>
              <w:topLinePunct/>
              <w:jc w:val="left"/>
              <w:rPr>
                <w:rFonts w:ascii="Arial Rounded MT Bold" w:eastAsia="HGｺﾞｼｯｸE" w:hAnsi="Arial Rounded MT Bold"/>
              </w:rPr>
            </w:pPr>
            <w:r w:rsidRPr="005067C6">
              <w:rPr>
                <w:rFonts w:ascii="Arial Rounded MT Bold" w:eastAsia="HGｺﾞｼｯｸE" w:hAnsi="Arial Rounded MT Bold"/>
              </w:rPr>
              <w:lastRenderedPageBreak/>
              <w:t>2</w:t>
            </w:r>
            <w:r w:rsidR="002222C4">
              <w:rPr>
                <w:rFonts w:ascii="Arial Rounded MT Bold" w:eastAsia="HGｺﾞｼｯｸE" w:hAnsi="Arial Rounded MT Bold"/>
              </w:rPr>
              <w:t>.</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構成・分量</w:t>
            </w:r>
          </w:p>
        </w:tc>
        <w:tc>
          <w:tcPr>
            <w:tcW w:w="8839" w:type="dxa"/>
            <w:tcMar>
              <w:top w:w="85" w:type="dxa"/>
              <w:bottom w:w="85" w:type="dxa"/>
            </w:tcMar>
          </w:tcPr>
          <w:p w:rsidR="002C6EE4" w:rsidRDefault="002C6EE4" w:rsidP="002C6EE4">
            <w:pPr>
              <w:topLinePunct/>
              <w:ind w:left="180" w:hangingChars="100" w:hanging="180"/>
            </w:pPr>
            <w:r w:rsidRPr="00DE1046">
              <w:rPr>
                <w:rFonts w:hint="eastAsia"/>
                <w:color w:val="2E74B5" w:themeColor="accent1" w:themeShade="BF"/>
              </w:rPr>
              <w:t>●</w:t>
            </w:r>
            <w:r>
              <w:rPr>
                <w:rFonts w:hint="eastAsia"/>
              </w:rPr>
              <w:t>全体は「古文編」「漢文編」「近代以降の文章編」の</w:t>
            </w:r>
            <w:r>
              <w:t>3</w:t>
            </w:r>
            <w:r>
              <w:t>部構成で、それぞれは文種別の単元構成である。</w:t>
            </w:r>
            <w:r>
              <w:rPr>
                <w:rFonts w:hint="eastAsia"/>
              </w:rPr>
              <w:t>使い慣れた構成で、授業やカリキュラムを組み立てやすくなっている。（古文編</w:t>
            </w:r>
            <w:r>
              <w:t>6</w:t>
            </w:r>
            <w:r>
              <w:t>単元／漢文編</w:t>
            </w:r>
            <w:r>
              <w:t>6</w:t>
            </w:r>
            <w:r>
              <w:t>単元／近代以降の文章編</w:t>
            </w:r>
            <w:r>
              <w:t>5</w:t>
            </w:r>
            <w:r>
              <w:t>単元）</w:t>
            </w:r>
          </w:p>
          <w:p w:rsidR="002C6EE4" w:rsidRDefault="002C6EE4" w:rsidP="002C6EE4">
            <w:pPr>
              <w:topLinePunct/>
              <w:ind w:left="180" w:hangingChars="100" w:hanging="180"/>
            </w:pPr>
            <w:r w:rsidRPr="00DE1046">
              <w:rPr>
                <w:rFonts w:hint="eastAsia"/>
                <w:color w:val="2E74B5" w:themeColor="accent1" w:themeShade="BF"/>
              </w:rPr>
              <w:t>●</w:t>
            </w:r>
            <w:r>
              <w:rPr>
                <w:rFonts w:hint="eastAsia"/>
              </w:rPr>
              <w:t>いずれのジャンル・単元も、日本の言語文化を重層的に学べる作品群で構成されている。</w:t>
            </w:r>
          </w:p>
          <w:p w:rsidR="002C6EE4" w:rsidRDefault="002C6EE4" w:rsidP="002C6EE4">
            <w:pPr>
              <w:topLinePunct/>
              <w:ind w:left="180" w:hangingChars="100" w:hanging="180"/>
            </w:pPr>
            <w:r w:rsidRPr="00DE1046">
              <w:rPr>
                <w:rFonts w:hint="eastAsia"/>
                <w:color w:val="2E74B5" w:themeColor="accent1" w:themeShade="BF"/>
              </w:rPr>
              <w:t>●</w:t>
            </w:r>
            <w:r>
              <w:rPr>
                <w:rFonts w:hint="eastAsia"/>
              </w:rPr>
              <w:t>古文・漢文それぞれの入門単元では、「なぜ古典を学ぶのか」を考え</w:t>
            </w:r>
            <w:r w:rsidR="00023444">
              <w:rPr>
                <w:rFonts w:hint="eastAsia"/>
              </w:rPr>
              <w:t>させる文章とともに、</w:t>
            </w:r>
            <w:r>
              <w:rPr>
                <w:rFonts w:hint="eastAsia"/>
              </w:rPr>
              <w:t>文の仕組み</w:t>
            </w:r>
            <w:r w:rsidR="00023444">
              <w:rPr>
                <w:rFonts w:hint="eastAsia"/>
              </w:rPr>
              <w:t>が</w:t>
            </w:r>
            <w:r>
              <w:rPr>
                <w:rFonts w:hint="eastAsia"/>
              </w:rPr>
              <w:t>丁寧に解説</w:t>
            </w:r>
            <w:r w:rsidR="00023444">
              <w:rPr>
                <w:rFonts w:hint="eastAsia"/>
              </w:rPr>
              <w:t>されており、段階的な学習ができる</w:t>
            </w:r>
            <w:r>
              <w:rPr>
                <w:rFonts w:hint="eastAsia"/>
              </w:rPr>
              <w:t>。</w:t>
            </w:r>
          </w:p>
          <w:p w:rsidR="00023444" w:rsidRDefault="00023444" w:rsidP="002C6EE4">
            <w:pPr>
              <w:topLinePunct/>
              <w:ind w:left="180" w:hangingChars="100" w:hanging="180"/>
            </w:pPr>
            <w:r w:rsidRPr="00DE1046">
              <w:rPr>
                <w:rFonts w:hint="eastAsia"/>
                <w:color w:val="2E74B5" w:themeColor="accent1" w:themeShade="BF"/>
              </w:rPr>
              <w:t>●</w:t>
            </w:r>
            <w:r w:rsidR="00E37170">
              <w:rPr>
                <w:rFonts w:hint="eastAsia"/>
              </w:rPr>
              <w:t>随所に</w:t>
            </w:r>
            <w:r>
              <w:rPr>
                <w:rFonts w:hint="eastAsia"/>
              </w:rPr>
              <w:t>「学びを広げる」が設定されており</w:t>
            </w:r>
            <w:r w:rsidRPr="00023444">
              <w:rPr>
                <w:rFonts w:hint="eastAsia"/>
              </w:rPr>
              <w:t>、</w:t>
            </w:r>
            <w:r w:rsidR="00E37170">
              <w:rPr>
                <w:rFonts w:hint="eastAsia"/>
              </w:rPr>
              <w:t>教材</w:t>
            </w:r>
            <w:r w:rsidR="00E37170" w:rsidRPr="00E37170">
              <w:rPr>
                <w:rFonts w:hint="eastAsia"/>
              </w:rPr>
              <w:t>の読解をベースとして、</w:t>
            </w:r>
            <w:r w:rsidRPr="00023444">
              <w:rPr>
                <w:rFonts w:hint="eastAsia"/>
              </w:rPr>
              <w:t>「主体的・対話的で深い学び」につながる言語活動を行うことができる。</w:t>
            </w:r>
          </w:p>
          <w:p w:rsidR="00023444" w:rsidRDefault="002C6EE4" w:rsidP="002C6EE4">
            <w:pPr>
              <w:topLinePunct/>
              <w:ind w:left="180" w:hangingChars="100" w:hanging="180"/>
            </w:pPr>
            <w:r w:rsidRPr="00DE1046">
              <w:rPr>
                <w:rFonts w:hint="eastAsia"/>
                <w:color w:val="2E74B5" w:themeColor="accent1" w:themeShade="BF"/>
              </w:rPr>
              <w:t>●</w:t>
            </w:r>
            <w:r w:rsidR="00E37170">
              <w:rPr>
                <w:rFonts w:hint="eastAsia"/>
              </w:rPr>
              <w:t>古典</w:t>
            </w:r>
            <w:r w:rsidR="004A72DD">
              <w:rPr>
                <w:rFonts w:hint="eastAsia"/>
              </w:rPr>
              <w:t>や文学</w:t>
            </w:r>
            <w:r w:rsidR="00E37170">
              <w:rPr>
                <w:rFonts w:hint="eastAsia"/>
              </w:rPr>
              <w:t>に関する知識・技能を</w:t>
            </w:r>
            <w:r w:rsidR="00E37170" w:rsidRPr="00E37170">
              <w:rPr>
                <w:rFonts w:hint="eastAsia"/>
              </w:rPr>
              <w:t>身につける</w:t>
            </w:r>
            <w:r w:rsidR="00E37170">
              <w:rPr>
                <w:rFonts w:hint="eastAsia"/>
              </w:rPr>
              <w:t>ための</w:t>
            </w:r>
            <w:r>
              <w:rPr>
                <w:rFonts w:hint="eastAsia"/>
              </w:rPr>
              <w:t>コラム「古文を読むために」「漢文</w:t>
            </w:r>
            <w:r w:rsidRPr="002C6EE4">
              <w:rPr>
                <w:rFonts w:hint="eastAsia"/>
              </w:rPr>
              <w:t>を読むために」</w:t>
            </w:r>
            <w:r>
              <w:rPr>
                <w:rFonts w:hint="eastAsia"/>
              </w:rPr>
              <w:t>「文学</w:t>
            </w:r>
            <w:r w:rsidRPr="002C6EE4">
              <w:rPr>
                <w:rFonts w:hint="eastAsia"/>
              </w:rPr>
              <w:t>を読むために」</w:t>
            </w:r>
            <w:r>
              <w:rPr>
                <w:rFonts w:hint="eastAsia"/>
              </w:rPr>
              <w:t>「言語文化の扉」</w:t>
            </w:r>
            <w:r w:rsidR="00023444">
              <w:rPr>
                <w:rFonts w:hint="eastAsia"/>
              </w:rPr>
              <w:t>が充実</w:t>
            </w:r>
            <w:r w:rsidR="00E37170">
              <w:rPr>
                <w:rFonts w:hint="eastAsia"/>
              </w:rPr>
              <w:t>してい</w:t>
            </w:r>
            <w:r w:rsidR="00023444">
              <w:rPr>
                <w:rFonts w:hint="eastAsia"/>
              </w:rPr>
              <w:t>る。</w:t>
            </w:r>
          </w:p>
          <w:p w:rsidR="00473838" w:rsidRPr="005045D5" w:rsidRDefault="00023444" w:rsidP="00023444">
            <w:pPr>
              <w:topLinePunct/>
              <w:ind w:left="180" w:hangingChars="100" w:hanging="180"/>
            </w:pPr>
            <w:r w:rsidRPr="00DE1046">
              <w:rPr>
                <w:rFonts w:hint="eastAsia"/>
                <w:color w:val="2E74B5" w:themeColor="accent1" w:themeShade="BF"/>
              </w:rPr>
              <w:t>●</w:t>
            </w:r>
            <w:r w:rsidRPr="005045D5">
              <w:rPr>
                <w:rFonts w:hint="eastAsia"/>
              </w:rPr>
              <w:t>各</w:t>
            </w:r>
            <w:r>
              <w:rPr>
                <w:rFonts w:hint="eastAsia"/>
              </w:rPr>
              <w:t>単元のテーマ</w:t>
            </w:r>
            <w:r w:rsidRPr="005045D5">
              <w:rPr>
                <w:rFonts w:hint="eastAsia"/>
              </w:rPr>
              <w:t>に関連した</w:t>
            </w:r>
            <w:r>
              <w:rPr>
                <w:rFonts w:hint="eastAsia"/>
              </w:rPr>
              <w:t>参考教材</w:t>
            </w:r>
            <w:r w:rsidRPr="005045D5">
              <w:rPr>
                <w:rFonts w:hint="eastAsia"/>
              </w:rPr>
              <w:t>・</w:t>
            </w:r>
            <w:r>
              <w:rPr>
                <w:rFonts w:hint="eastAsia"/>
              </w:rPr>
              <w:t>ブックガイド</w:t>
            </w:r>
            <w:r w:rsidRPr="005045D5">
              <w:rPr>
                <w:rFonts w:hint="eastAsia"/>
              </w:rPr>
              <w:t>で、さらなる主体的な学び</w:t>
            </w:r>
            <w:r>
              <w:rPr>
                <w:rFonts w:hint="eastAsia"/>
              </w:rPr>
              <w:t>や</w:t>
            </w:r>
            <w:r w:rsidRPr="005045D5">
              <w:rPr>
                <w:rFonts w:hint="eastAsia"/>
              </w:rPr>
              <w:t>自学自習へとつながっている。</w:t>
            </w:r>
          </w:p>
        </w:tc>
      </w:tr>
      <w:tr w:rsidR="00473838" w:rsidRPr="005045D5" w:rsidTr="00CD7E92">
        <w:tc>
          <w:tcPr>
            <w:tcW w:w="1355" w:type="dxa"/>
            <w:tcMar>
              <w:top w:w="85" w:type="dxa"/>
              <w:bottom w:w="85" w:type="dxa"/>
            </w:tcMar>
          </w:tcPr>
          <w:p w:rsidR="00473838" w:rsidRPr="005067C6" w:rsidRDefault="00473838" w:rsidP="00E332A3">
            <w:pPr>
              <w:topLinePunct/>
              <w:ind w:left="198" w:hangingChars="110" w:hanging="198"/>
              <w:jc w:val="left"/>
              <w:rPr>
                <w:rFonts w:ascii="Arial Rounded MT Bold" w:eastAsia="HGｺﾞｼｯｸE" w:hAnsi="Arial Rounded MT Bold"/>
              </w:rPr>
            </w:pPr>
            <w:r w:rsidRPr="005067C6">
              <w:rPr>
                <w:rFonts w:ascii="Arial Rounded MT Bold" w:eastAsia="HGｺﾞｼｯｸE" w:hAnsi="Arial Rounded MT Bold"/>
              </w:rPr>
              <w:t>3.</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表記・表現及び指導上の工夫</w:t>
            </w:r>
          </w:p>
        </w:tc>
        <w:tc>
          <w:tcPr>
            <w:tcW w:w="8839" w:type="dxa"/>
            <w:tcMar>
              <w:top w:w="85" w:type="dxa"/>
              <w:bottom w:w="85" w:type="dxa"/>
            </w:tcMar>
          </w:tcPr>
          <w:p w:rsidR="00E37170" w:rsidRPr="005045D5" w:rsidRDefault="00E37170" w:rsidP="00E37170">
            <w:pPr>
              <w:topLinePunct/>
              <w:ind w:left="180" w:hangingChars="100" w:hanging="180"/>
            </w:pPr>
            <w:r w:rsidRPr="00DE1046">
              <w:rPr>
                <w:rFonts w:hint="eastAsia"/>
                <w:color w:val="2E74B5" w:themeColor="accent1" w:themeShade="BF"/>
              </w:rPr>
              <w:t>●</w:t>
            </w:r>
            <w:r w:rsidRPr="005045D5">
              <w:rPr>
                <w:rFonts w:hint="eastAsia"/>
              </w:rPr>
              <w:t>挿絵や図版を適所に配置することで、生徒の学習意欲を喚起し、内容の理解を支えている。</w:t>
            </w:r>
          </w:p>
          <w:p w:rsidR="00E37170" w:rsidRPr="005045D5" w:rsidRDefault="00E37170" w:rsidP="00E37170">
            <w:pPr>
              <w:topLinePunct/>
              <w:ind w:left="180" w:hangingChars="100" w:hanging="180"/>
            </w:pPr>
            <w:r w:rsidRPr="00DE1046">
              <w:rPr>
                <w:rFonts w:hint="eastAsia"/>
                <w:color w:val="2E74B5" w:themeColor="accent1" w:themeShade="BF"/>
              </w:rPr>
              <w:t>●</w:t>
            </w:r>
            <w:r w:rsidRPr="005045D5">
              <w:rPr>
                <w:rFonts w:hint="eastAsia"/>
              </w:rPr>
              <w:t>用語・記号は統一</w:t>
            </w:r>
            <w:r>
              <w:rPr>
                <w:rFonts w:hint="eastAsia"/>
              </w:rPr>
              <w:t>され</w:t>
            </w:r>
            <w:r w:rsidRPr="005045D5">
              <w:rPr>
                <w:rFonts w:hint="eastAsia"/>
              </w:rPr>
              <w:t>ており、生徒が理解しやすい記述になっている。</w:t>
            </w:r>
          </w:p>
          <w:p w:rsidR="00E37170" w:rsidRDefault="00E37170" w:rsidP="00E37170">
            <w:pPr>
              <w:topLinePunct/>
              <w:ind w:left="180" w:hangingChars="100" w:hanging="180"/>
            </w:pPr>
            <w:r w:rsidRPr="00DE1046">
              <w:rPr>
                <w:rFonts w:hint="eastAsia"/>
                <w:color w:val="2E74B5" w:themeColor="accent1" w:themeShade="BF"/>
              </w:rPr>
              <w:t>●</w:t>
            </w:r>
            <w:r w:rsidRPr="005045D5">
              <w:rPr>
                <w:rFonts w:hint="eastAsia"/>
              </w:rPr>
              <w:t>脚注は分量・内容とも適切である。また、平易な表現で記述されており、生徒の理解を助けるものとなっている。</w:t>
            </w:r>
          </w:p>
          <w:p w:rsidR="00473838" w:rsidRPr="005045D5" w:rsidRDefault="00E37170" w:rsidP="00E37170">
            <w:pPr>
              <w:topLinePunct/>
              <w:ind w:left="180" w:hangingChars="100" w:hanging="180"/>
            </w:pPr>
            <w:r w:rsidRPr="00DE1046">
              <w:rPr>
                <w:rFonts w:hint="eastAsia"/>
                <w:color w:val="2E74B5" w:themeColor="accent1" w:themeShade="BF"/>
              </w:rPr>
              <w:t>●</w:t>
            </w:r>
            <w:r>
              <w:rPr>
                <w:rFonts w:hint="eastAsia"/>
              </w:rPr>
              <w:t>全教材に</w:t>
            </w:r>
            <w:r w:rsidRPr="002222C4">
              <w:rPr>
                <w:rFonts w:hint="eastAsia"/>
              </w:rPr>
              <w:t>二次元コード</w:t>
            </w:r>
            <w:r>
              <w:rPr>
                <w:rFonts w:hint="eastAsia"/>
              </w:rPr>
              <w:t>が付してあり、</w:t>
            </w:r>
            <w:r w:rsidRPr="002222C4">
              <w:rPr>
                <w:rFonts w:hint="eastAsia"/>
              </w:rPr>
              <w:t>学習を</w:t>
            </w:r>
            <w:r>
              <w:rPr>
                <w:rFonts w:hint="eastAsia"/>
              </w:rPr>
              <w:t>サポートする資料やデジタルコンテンツが充実している</w:t>
            </w:r>
            <w:r w:rsidRPr="002222C4">
              <w:rPr>
                <w:rFonts w:hint="eastAsia"/>
              </w:rPr>
              <w:t>。</w:t>
            </w:r>
            <w:r>
              <w:rPr>
                <w:rFonts w:hint="eastAsia"/>
              </w:rPr>
              <w:t>また、</w:t>
            </w:r>
            <w:r w:rsidRPr="005045D5">
              <w:rPr>
                <w:rFonts w:hint="eastAsia"/>
              </w:rPr>
              <w:t>授業を支援する教師用指導書や教材、</w:t>
            </w:r>
            <w:r w:rsidRPr="005045D5">
              <w:t>ICT</w:t>
            </w:r>
            <w:r w:rsidRPr="005045D5">
              <w:t>ツールなどが充実して</w:t>
            </w:r>
            <w:r>
              <w:rPr>
                <w:rFonts w:hint="eastAsia"/>
              </w:rPr>
              <w:t>おり、</w:t>
            </w:r>
            <w:r w:rsidRPr="002222C4">
              <w:rPr>
                <w:rFonts w:hint="eastAsia"/>
              </w:rPr>
              <w:t>指導しやすく学習しやすい教科書である。</w:t>
            </w:r>
          </w:p>
        </w:tc>
      </w:tr>
      <w:tr w:rsidR="00473838" w:rsidRPr="005045D5" w:rsidTr="00CD7E92">
        <w:tc>
          <w:tcPr>
            <w:tcW w:w="1355" w:type="dxa"/>
            <w:tcMar>
              <w:top w:w="85" w:type="dxa"/>
              <w:bottom w:w="85" w:type="dxa"/>
            </w:tcMar>
          </w:tcPr>
          <w:p w:rsidR="00473838" w:rsidRPr="005067C6" w:rsidRDefault="00E37170" w:rsidP="00E332A3">
            <w:pPr>
              <w:topLinePunct/>
              <w:ind w:left="198" w:rightChars="-50" w:right="-105" w:hangingChars="110" w:hanging="198"/>
              <w:jc w:val="left"/>
              <w:rPr>
                <w:rFonts w:ascii="Arial Rounded MT Bold" w:eastAsia="HGｺﾞｼｯｸE" w:hAnsi="Arial Rounded MT Bold"/>
              </w:rPr>
            </w:pPr>
            <w:r w:rsidRPr="005067C6">
              <w:rPr>
                <w:rFonts w:ascii="Arial Rounded MT Bold" w:eastAsia="HGｺﾞｼｯｸE" w:hAnsi="Arial Rounded MT Bold"/>
              </w:rPr>
              <w:t>4.</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spacing w:val="-6"/>
              </w:rPr>
              <w:t>ユニバ</w:t>
            </w:r>
            <w:r w:rsidRPr="00E71F20">
              <w:rPr>
                <w:rFonts w:ascii="Arial Rounded MT Bold" w:eastAsia="HGｺﾞｼｯｸE" w:hAnsi="Arial Rounded MT Bold"/>
                <w:spacing w:val="-6"/>
                <w:w w:val="80"/>
              </w:rPr>
              <w:t>ー</w:t>
            </w:r>
            <w:r w:rsidRPr="005067C6">
              <w:rPr>
                <w:rFonts w:ascii="Arial Rounded MT Bold" w:eastAsia="HGｺﾞｼｯｸE" w:hAnsi="Arial Rounded MT Bold"/>
                <w:spacing w:val="-6"/>
              </w:rPr>
              <w:t>サル</w:t>
            </w:r>
            <w:r w:rsidRPr="005067C6">
              <w:rPr>
                <w:rFonts w:ascii="Arial Rounded MT Bold" w:eastAsia="HGｺﾞｼｯｸE" w:hAnsi="Arial Rounded MT Bold"/>
              </w:rPr>
              <w:t>デザイン</w:t>
            </w:r>
          </w:p>
        </w:tc>
        <w:tc>
          <w:tcPr>
            <w:tcW w:w="8839" w:type="dxa"/>
            <w:tcMar>
              <w:top w:w="85" w:type="dxa"/>
              <w:bottom w:w="85" w:type="dxa"/>
            </w:tcMar>
          </w:tcPr>
          <w:p w:rsidR="00E37170" w:rsidRPr="005045D5" w:rsidRDefault="00E37170" w:rsidP="00E37170">
            <w:pPr>
              <w:topLinePunct/>
              <w:ind w:left="180" w:hangingChars="100" w:hanging="180"/>
            </w:pPr>
            <w:r w:rsidRPr="00DE1046">
              <w:rPr>
                <w:rFonts w:hint="eastAsia"/>
                <w:color w:val="2E74B5" w:themeColor="accent1" w:themeShade="BF"/>
              </w:rPr>
              <w:t>●</w:t>
            </w:r>
            <w:r w:rsidRPr="005045D5">
              <w:t>専門家の知見を参考に、</w:t>
            </w:r>
            <w:r w:rsidRPr="005045D5">
              <w:rPr>
                <w:rFonts w:hint="eastAsia"/>
              </w:rPr>
              <w:t>特別支援教育ならびに</w:t>
            </w:r>
            <w:r w:rsidRPr="005045D5">
              <w:t>ユニバーサルデザイン（</w:t>
            </w:r>
            <w:r w:rsidRPr="005045D5">
              <w:t>UD</w:t>
            </w:r>
            <w:r w:rsidRPr="005045D5">
              <w:t>）に配慮し、誰もが使いやすい教科書となるよう工夫している。</w:t>
            </w:r>
          </w:p>
          <w:p w:rsidR="00E37170" w:rsidRPr="005045D5" w:rsidRDefault="00E37170" w:rsidP="00E37170">
            <w:pPr>
              <w:topLinePunct/>
              <w:ind w:left="180" w:hangingChars="100" w:hanging="180"/>
            </w:pPr>
            <w:r w:rsidRPr="00DE1046">
              <w:rPr>
                <w:rFonts w:hint="eastAsia"/>
                <w:color w:val="2E74B5" w:themeColor="accent1" w:themeShade="BF"/>
              </w:rPr>
              <w:t>●</w:t>
            </w:r>
            <w:r w:rsidRPr="005045D5">
              <w:rPr>
                <w:rFonts w:hint="eastAsia"/>
              </w:rPr>
              <w:t>カラーユニバーサルデザイン</w:t>
            </w:r>
            <w:r>
              <w:rPr>
                <w:rFonts w:hint="eastAsia"/>
              </w:rPr>
              <w:t>（</w:t>
            </w:r>
            <w:r w:rsidRPr="005045D5">
              <w:t>CUD</w:t>
            </w:r>
            <w:r>
              <w:rPr>
                <w:rFonts w:hint="eastAsia"/>
              </w:rPr>
              <w:t>）</w:t>
            </w:r>
            <w:r w:rsidRPr="005045D5">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p w:rsidR="00473838" w:rsidRPr="005045D5" w:rsidRDefault="00E37170" w:rsidP="00E37170">
            <w:pPr>
              <w:topLinePunct/>
              <w:ind w:left="180" w:hangingChars="100" w:hanging="180"/>
            </w:pPr>
            <w:r w:rsidRPr="00DE1046">
              <w:rPr>
                <w:rFonts w:hint="eastAsia"/>
                <w:color w:val="2E74B5" w:themeColor="accent1" w:themeShade="BF"/>
              </w:rPr>
              <w:t>●</w:t>
            </w:r>
            <w:r w:rsidRPr="005045D5">
              <w:rPr>
                <w:rFonts w:hint="eastAsia"/>
              </w:rPr>
              <w:t>教材で使用している文字に</w:t>
            </w:r>
            <w:r w:rsidRPr="005045D5">
              <w:t>UD</w:t>
            </w:r>
            <w:r w:rsidRPr="005045D5">
              <w:t>フォントを使用し、読み誤りなどが生じにくいように配慮している。</w:t>
            </w:r>
          </w:p>
        </w:tc>
      </w:tr>
      <w:tr w:rsidR="00C5697E" w:rsidRPr="005045D5" w:rsidTr="00CD7E92">
        <w:tc>
          <w:tcPr>
            <w:tcW w:w="1355" w:type="dxa"/>
            <w:tcMar>
              <w:top w:w="85" w:type="dxa"/>
              <w:bottom w:w="85" w:type="dxa"/>
            </w:tcMar>
          </w:tcPr>
          <w:p w:rsidR="00C5697E" w:rsidRPr="005067C6" w:rsidRDefault="00C5697E" w:rsidP="00E332A3">
            <w:pPr>
              <w:topLinePunct/>
              <w:ind w:left="198" w:hangingChars="110" w:hanging="198"/>
              <w:jc w:val="left"/>
              <w:rPr>
                <w:rFonts w:ascii="Arial Rounded MT Bold" w:eastAsia="HGｺﾞｼｯｸE" w:hAnsi="Arial Rounded MT Bold"/>
              </w:rPr>
            </w:pPr>
            <w:r w:rsidRPr="005067C6">
              <w:rPr>
                <w:rFonts w:ascii="Arial Rounded MT Bold" w:eastAsia="HGｺﾞｼｯｸE" w:hAnsi="Arial Rounded MT Bold"/>
              </w:rPr>
              <w:t>5.</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印刷・造本などの配慮</w:t>
            </w:r>
          </w:p>
        </w:tc>
        <w:tc>
          <w:tcPr>
            <w:tcW w:w="8839" w:type="dxa"/>
            <w:tcMar>
              <w:top w:w="85" w:type="dxa"/>
              <w:bottom w:w="85" w:type="dxa"/>
            </w:tcMar>
          </w:tcPr>
          <w:p w:rsidR="00E37170" w:rsidRPr="005045D5" w:rsidRDefault="00E37170" w:rsidP="00E37170">
            <w:pPr>
              <w:topLinePunct/>
              <w:ind w:left="180" w:hangingChars="100" w:hanging="180"/>
            </w:pPr>
            <w:r w:rsidRPr="00DE1046">
              <w:rPr>
                <w:rFonts w:hint="eastAsia"/>
                <w:color w:val="2E74B5" w:themeColor="accent1" w:themeShade="BF"/>
              </w:rPr>
              <w:t>●</w:t>
            </w:r>
            <w:r>
              <w:rPr>
                <w:rFonts w:hint="eastAsia"/>
              </w:rPr>
              <w:t>活字・写真・挿絵は鮮明で、</w:t>
            </w:r>
            <w:r w:rsidRPr="005045D5">
              <w:rPr>
                <w:rFonts w:hint="eastAsia"/>
              </w:rPr>
              <w:t>レイアウトも工夫されており、学習に取り組みやすい教科書となっている。</w:t>
            </w:r>
          </w:p>
          <w:p w:rsidR="00E37170" w:rsidRPr="005045D5" w:rsidRDefault="00E37170" w:rsidP="00E37170">
            <w:pPr>
              <w:topLinePunct/>
              <w:ind w:left="180" w:hangingChars="100" w:hanging="180"/>
            </w:pPr>
            <w:r w:rsidRPr="00DE1046">
              <w:rPr>
                <w:rFonts w:hint="eastAsia"/>
                <w:color w:val="2E74B5" w:themeColor="accent1" w:themeShade="BF"/>
              </w:rPr>
              <w:t>●</w:t>
            </w:r>
            <w:r w:rsidRPr="005045D5">
              <w:rPr>
                <w:rFonts w:hint="eastAsia"/>
              </w:rPr>
              <w:t>教科書用紙は、環境の保護や資源の節約のため、原料や製法に配慮した環境にやさしい紙を使用している。</w:t>
            </w:r>
          </w:p>
          <w:p w:rsidR="00E37170" w:rsidRPr="005045D5" w:rsidRDefault="00E37170" w:rsidP="00E37170">
            <w:pPr>
              <w:topLinePunct/>
              <w:ind w:left="180" w:hangingChars="100" w:hanging="180"/>
            </w:pPr>
            <w:r w:rsidRPr="00DE1046">
              <w:rPr>
                <w:rFonts w:hint="eastAsia"/>
                <w:color w:val="2E74B5" w:themeColor="accent1" w:themeShade="BF"/>
              </w:rPr>
              <w:t>●</w:t>
            </w:r>
            <w:r w:rsidRPr="005045D5">
              <w:rPr>
                <w:rFonts w:hint="eastAsia"/>
              </w:rPr>
              <w:t>印刷に使用しているインキは、植物由来の油および、それらを主体とする廃食用油等をリサイクルした再生油を含んだ、印刷インキ工業連合会認定の植物油のものを使用している。</w:t>
            </w:r>
          </w:p>
          <w:p w:rsidR="00C5697E" w:rsidRPr="005045D5" w:rsidRDefault="00E37170" w:rsidP="00E37170">
            <w:pPr>
              <w:topLinePunct/>
              <w:ind w:left="180" w:hangingChars="100" w:hanging="180"/>
            </w:pPr>
            <w:bookmarkStart w:id="0" w:name="_GoBack"/>
            <w:r w:rsidRPr="00DE1046">
              <w:rPr>
                <w:rFonts w:hint="eastAsia"/>
                <w:color w:val="2E74B5" w:themeColor="accent1" w:themeShade="BF"/>
              </w:rPr>
              <w:t>●</w:t>
            </w:r>
            <w:bookmarkEnd w:id="0"/>
            <w:r w:rsidRPr="005045D5">
              <w:rPr>
                <w:rFonts w:hint="eastAsia"/>
              </w:rPr>
              <w:t>製本は堅牢で、十分な耐久性を備えている。また、ページの開きがよく、読みやすい製本方式を用いている。</w:t>
            </w:r>
          </w:p>
        </w:tc>
      </w:tr>
      <w:tr w:rsidR="00E332A3" w:rsidRPr="005045D5" w:rsidTr="00235C68">
        <w:tc>
          <w:tcPr>
            <w:tcW w:w="10194" w:type="dxa"/>
            <w:gridSpan w:val="2"/>
            <w:tcMar>
              <w:top w:w="85" w:type="dxa"/>
              <w:bottom w:w="85" w:type="dxa"/>
            </w:tcMar>
          </w:tcPr>
          <w:p w:rsidR="00E332A3" w:rsidRPr="00E332A3" w:rsidRDefault="00E332A3" w:rsidP="00E332A3">
            <w:pPr>
              <w:topLinePunct/>
              <w:rPr>
                <w:rFonts w:ascii="HGｺﾞｼｯｸE" w:eastAsia="HGｺﾞｼｯｸE" w:hAnsi="HGｺﾞｼｯｸE"/>
              </w:rPr>
            </w:pPr>
            <w:r w:rsidRPr="00E332A3">
              <w:rPr>
                <w:rFonts w:ascii="HGｺﾞｼｯｸE" w:eastAsia="HGｺﾞｼｯｸE" w:hAnsi="HGｺﾞｼｯｸE" w:hint="eastAsia"/>
              </w:rPr>
              <w:t>【総合所見】</w:t>
            </w:r>
          </w:p>
          <w:p w:rsidR="00E332A3" w:rsidRPr="005045D5" w:rsidRDefault="00202552" w:rsidP="00202552">
            <w:pPr>
              <w:topLinePunct/>
              <w:ind w:firstLineChars="100" w:firstLine="180"/>
            </w:pPr>
            <w:r w:rsidRPr="00202552">
              <w:rPr>
                <w:rFonts w:hint="eastAsia"/>
              </w:rPr>
              <w:t>生徒の学びに向かう力を引き出す明解かつ多様な教材が採録されており、学習過程や学習内容が明確で、言語活動の充実が図られ、質的ならびに分量も適切である。生涯にわたる社会生活に必要な国語の知識や技能を習得し、それらを活用して、思考力・判断力・表現力等を育成するための工夫が随所に施され、主体的・対話的で深い学びができる。この教科書は、科目「言語文化」の目標である、言葉による見方・考え方を働かせ、言語活動を通して、国語で的確に理解し効果的に表現する資質・能力を育成すること（上代から近現代に受け継がれてきた日本の言語文化への理解を深めること）に適した教科書である。</w:t>
            </w:r>
          </w:p>
        </w:tc>
      </w:tr>
    </w:tbl>
    <w:p w:rsidR="00CF53E0" w:rsidRPr="005045D5" w:rsidRDefault="00CF53E0" w:rsidP="00E332A3">
      <w:pPr>
        <w:topLinePunct/>
        <w:spacing w:line="20" w:lineRule="exact"/>
      </w:pPr>
    </w:p>
    <w:sectPr w:rsidR="00CF53E0" w:rsidRPr="005045D5" w:rsidSect="00E332A3">
      <w:headerReference w:type="default" r:id="rId7"/>
      <w:footerReference w:type="default" r:id="rId8"/>
      <w:pgSz w:w="11906" w:h="16838" w:code="9"/>
      <w:pgMar w:top="1588" w:right="851" w:bottom="1021" w:left="851" w:header="454" w:footer="340"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E0" w:rsidRDefault="00CF53E0" w:rsidP="00CF53E0">
      <w:r>
        <w:separator/>
      </w:r>
    </w:p>
  </w:endnote>
  <w:endnote w:type="continuationSeparator" w:id="0">
    <w:p w:rsidR="00CF53E0" w:rsidRDefault="00CF53E0" w:rsidP="00CF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07035"/>
      <w:docPartObj>
        <w:docPartGallery w:val="Page Numbers (Bottom of Page)"/>
        <w:docPartUnique/>
      </w:docPartObj>
    </w:sdtPr>
    <w:sdtEndPr>
      <w:rPr>
        <w:sz w:val="18"/>
        <w:szCs w:val="18"/>
      </w:rPr>
    </w:sdtEndPr>
    <w:sdtContent>
      <w:p w:rsidR="00B03CF6" w:rsidRPr="00E332A3" w:rsidRDefault="00B03CF6" w:rsidP="00E332A3">
        <w:pPr>
          <w:pStyle w:val="a6"/>
          <w:spacing w:line="220" w:lineRule="exact"/>
          <w:jc w:val="center"/>
          <w:rPr>
            <w:rFonts w:ascii="Century Gothic" w:hAnsi="Century Gothic"/>
            <w:sz w:val="18"/>
            <w:szCs w:val="18"/>
          </w:rPr>
        </w:pPr>
        <w:r w:rsidRPr="00E332A3">
          <w:rPr>
            <w:rFonts w:ascii="Century Gothic" w:hAnsi="Century Gothic"/>
            <w:sz w:val="18"/>
            <w:szCs w:val="18"/>
          </w:rPr>
          <w:fldChar w:fldCharType="begin"/>
        </w:r>
        <w:r w:rsidRPr="00E332A3">
          <w:rPr>
            <w:rFonts w:ascii="Century Gothic" w:hAnsi="Century Gothic"/>
            <w:sz w:val="18"/>
            <w:szCs w:val="18"/>
          </w:rPr>
          <w:instrText>PAGE   \* MERGEFORMAT</w:instrText>
        </w:r>
        <w:r w:rsidRPr="00E332A3">
          <w:rPr>
            <w:rFonts w:ascii="Century Gothic" w:hAnsi="Century Gothic"/>
            <w:sz w:val="18"/>
            <w:szCs w:val="18"/>
          </w:rPr>
          <w:fldChar w:fldCharType="separate"/>
        </w:r>
        <w:r w:rsidR="00DE1046" w:rsidRPr="00DE1046">
          <w:rPr>
            <w:rFonts w:ascii="Century Gothic" w:hAnsi="Century Gothic"/>
            <w:noProof/>
            <w:sz w:val="18"/>
            <w:szCs w:val="18"/>
            <w:lang w:val="ja-JP"/>
          </w:rPr>
          <w:t>2</w:t>
        </w:r>
        <w:r w:rsidRPr="00E332A3">
          <w:rPr>
            <w:rFonts w:ascii="Century Gothic" w:hAnsi="Century Gothic"/>
            <w:sz w:val="18"/>
            <w:szCs w:val="18"/>
          </w:rPr>
          <w:fldChar w:fldCharType="end"/>
        </w:r>
      </w:p>
      <w:p w:rsidR="00B03CF6" w:rsidRPr="00E332A3" w:rsidRDefault="00B03CF6" w:rsidP="00E332A3">
        <w:pPr>
          <w:pStyle w:val="a6"/>
          <w:spacing w:beforeLines="50" w:before="120" w:line="220" w:lineRule="exact"/>
          <w:jc w:val="center"/>
          <w:rPr>
            <w:sz w:val="18"/>
            <w:szCs w:val="18"/>
          </w:rPr>
        </w:pPr>
        <w:r w:rsidRPr="00E332A3">
          <w:rPr>
            <w:rFonts w:hint="eastAsia"/>
            <w:sz w:val="18"/>
            <w:szCs w:val="18"/>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E0" w:rsidRDefault="00CF53E0" w:rsidP="00CF53E0">
      <w:r>
        <w:separator/>
      </w:r>
    </w:p>
  </w:footnote>
  <w:footnote w:type="continuationSeparator" w:id="0">
    <w:p w:rsidR="00CF53E0" w:rsidRDefault="00CF53E0" w:rsidP="00CF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E0" w:rsidRDefault="00CF53E0" w:rsidP="002222C4">
    <w:pPr>
      <w:pStyle w:val="a4"/>
      <w:spacing w:afterLines="100" w:after="240"/>
      <w:rPr>
        <w:rFonts w:ascii="游ゴシック Medium" w:eastAsia="游ゴシック Medium" w:hAnsi="游ゴシック Medium"/>
        <w:sz w:val="18"/>
        <w:bdr w:val="single" w:sz="4" w:space="0" w:color="auto"/>
      </w:rPr>
    </w:pPr>
    <w:r>
      <w:rPr>
        <w:rFonts w:ascii="游ゴシック Medium" w:eastAsia="游ゴシック Medium" w:hAnsi="游ゴシック Medium" w:hint="eastAsia"/>
        <w:sz w:val="18"/>
        <w:bdr w:val="single" w:sz="4" w:space="0" w:color="auto"/>
      </w:rPr>
      <w:t xml:space="preserve"> 内</w:t>
    </w:r>
    <w:r w:rsidRPr="00CF53E0">
      <w:rPr>
        <w:rFonts w:ascii="游ゴシック Medium" w:eastAsia="游ゴシック Medium" w:hAnsi="游ゴシック Medium" w:hint="eastAsia"/>
        <w:sz w:val="18"/>
        <w:bdr w:val="single" w:sz="4" w:space="0" w:color="auto"/>
      </w:rPr>
      <w:t>容解説資料</w:t>
    </w:r>
    <w:r>
      <w:rPr>
        <w:rFonts w:ascii="游ゴシック Medium" w:eastAsia="游ゴシック Medium" w:hAnsi="游ゴシック Medium" w:hint="eastAsia"/>
        <w:sz w:val="18"/>
        <w:bdr w:val="single" w:sz="4" w:space="0" w:color="auto"/>
      </w:rPr>
      <w:t xml:space="preserve"> </w:t>
    </w:r>
  </w:p>
  <w:p w:rsidR="002222C4" w:rsidRPr="00CF53E0" w:rsidRDefault="002222C4" w:rsidP="002222C4">
    <w:pPr>
      <w:pStyle w:val="a4"/>
      <w:jc w:val="center"/>
      <w:rPr>
        <w:rFonts w:ascii="游ゴシック Medium" w:eastAsia="游ゴシック Medium" w:hAnsi="游ゴシック Medium"/>
        <w:sz w:val="18"/>
      </w:rPr>
    </w:pPr>
    <w:r w:rsidRPr="005045D5">
      <w:rPr>
        <w:rFonts w:hint="eastAsia"/>
        <w:sz w:val="24"/>
      </w:rPr>
      <w:t xml:space="preserve">『精選 </w:t>
    </w:r>
    <w:r w:rsidR="008A521B">
      <w:rPr>
        <w:rFonts w:hint="eastAsia"/>
        <w:sz w:val="24"/>
      </w:rPr>
      <w:t>言語文化</w:t>
    </w:r>
    <w:r w:rsidRPr="005045D5">
      <w:rPr>
        <w:rFonts w:hint="eastAsia"/>
        <w:sz w:val="24"/>
      </w:rPr>
      <w:t xml:space="preserve"> 改訂版』（</w:t>
    </w:r>
    <w:r w:rsidRPr="00353912">
      <w:rPr>
        <w:rFonts w:ascii="Century" w:hAnsi="Century"/>
        <w:sz w:val="24"/>
      </w:rPr>
      <w:t>15</w:t>
    </w:r>
    <w:r w:rsidRPr="005045D5">
      <w:rPr>
        <w:rFonts w:hint="eastAsia"/>
        <w:sz w:val="24"/>
      </w:rPr>
      <w:t xml:space="preserve"> 三省堂 現国</w:t>
    </w:r>
    <w:r w:rsidRPr="00353912">
      <w:rPr>
        <w:rFonts w:ascii="Century" w:hAnsi="Century"/>
        <w:sz w:val="24"/>
      </w:rPr>
      <w:t>015-901</w:t>
    </w:r>
    <w:r w:rsidRPr="005045D5">
      <w:rPr>
        <w:rFonts w:hint="eastAsia"/>
        <w:sz w:val="24"/>
      </w:rPr>
      <w:t>）</w:t>
    </w:r>
    <w:r w:rsidRPr="005045D5">
      <w:rPr>
        <w:rFonts w:hint="eastAsia"/>
        <w:w w:val="200"/>
        <w:sz w:val="24"/>
      </w:rPr>
      <w:t>─</w:t>
    </w:r>
    <w:r w:rsidRPr="005045D5">
      <w:rPr>
        <w:rFonts w:hint="eastAsia"/>
        <w:sz w:val="24"/>
      </w:rPr>
      <w:t>検討の観点と内容の特色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60"/>
    <w:rsid w:val="00023444"/>
    <w:rsid w:val="00030371"/>
    <w:rsid w:val="00076A94"/>
    <w:rsid w:val="000F5D24"/>
    <w:rsid w:val="001A4B77"/>
    <w:rsid w:val="001B6B76"/>
    <w:rsid w:val="001B7236"/>
    <w:rsid w:val="00202552"/>
    <w:rsid w:val="002222C4"/>
    <w:rsid w:val="002C6EE4"/>
    <w:rsid w:val="00316A9D"/>
    <w:rsid w:val="00353912"/>
    <w:rsid w:val="00436055"/>
    <w:rsid w:val="00473838"/>
    <w:rsid w:val="00481E35"/>
    <w:rsid w:val="004A72DD"/>
    <w:rsid w:val="005045D5"/>
    <w:rsid w:val="005067C6"/>
    <w:rsid w:val="00636298"/>
    <w:rsid w:val="006A35D6"/>
    <w:rsid w:val="00750D07"/>
    <w:rsid w:val="007D231D"/>
    <w:rsid w:val="007E0F3E"/>
    <w:rsid w:val="00855606"/>
    <w:rsid w:val="00893FB4"/>
    <w:rsid w:val="008A521B"/>
    <w:rsid w:val="009E72D7"/>
    <w:rsid w:val="00A143B7"/>
    <w:rsid w:val="00B03CF6"/>
    <w:rsid w:val="00B513CD"/>
    <w:rsid w:val="00B77437"/>
    <w:rsid w:val="00B9022D"/>
    <w:rsid w:val="00B90C60"/>
    <w:rsid w:val="00C5697E"/>
    <w:rsid w:val="00CD7E92"/>
    <w:rsid w:val="00CF53E0"/>
    <w:rsid w:val="00D64E14"/>
    <w:rsid w:val="00DE1046"/>
    <w:rsid w:val="00E332A3"/>
    <w:rsid w:val="00E3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5:chartTrackingRefBased/>
  <w15:docId w15:val="{A6267808-BE72-4A40-9B19-8EAC6DF9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298"/>
    <w:rPr>
      <w:rFonts w:ascii="Century" w:hAnsi="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3E0"/>
    <w:pPr>
      <w:tabs>
        <w:tab w:val="center" w:pos="4252"/>
        <w:tab w:val="right" w:pos="8504"/>
      </w:tabs>
      <w:snapToGrid w:val="0"/>
    </w:pPr>
  </w:style>
  <w:style w:type="character" w:customStyle="1" w:styleId="a5">
    <w:name w:val="ヘッダー (文字)"/>
    <w:basedOn w:val="a0"/>
    <w:link w:val="a4"/>
    <w:uiPriority w:val="99"/>
    <w:rsid w:val="00CF53E0"/>
  </w:style>
  <w:style w:type="paragraph" w:styleId="a6">
    <w:name w:val="footer"/>
    <w:basedOn w:val="a"/>
    <w:link w:val="a7"/>
    <w:uiPriority w:val="99"/>
    <w:unhideWhenUsed/>
    <w:rsid w:val="00CF53E0"/>
    <w:pPr>
      <w:tabs>
        <w:tab w:val="center" w:pos="4252"/>
        <w:tab w:val="right" w:pos="8504"/>
      </w:tabs>
      <w:snapToGrid w:val="0"/>
    </w:pPr>
  </w:style>
  <w:style w:type="character" w:customStyle="1" w:styleId="a7">
    <w:name w:val="フッター (文字)"/>
    <w:basedOn w:val="a0"/>
    <w:link w:val="a6"/>
    <w:uiPriority w:val="99"/>
    <w:rsid w:val="00CF53E0"/>
  </w:style>
  <w:style w:type="paragraph" w:styleId="a8">
    <w:name w:val="Balloon Text"/>
    <w:basedOn w:val="a"/>
    <w:link w:val="a9"/>
    <w:uiPriority w:val="99"/>
    <w:semiHidden/>
    <w:unhideWhenUsed/>
    <w:rsid w:val="005067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6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DC64-ECA8-49EC-8633-4E34A037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幸代</dc:creator>
  <cp:keywords/>
  <dc:description/>
  <cp:lastModifiedBy>細谷　幸代</cp:lastModifiedBy>
  <cp:revision>10</cp:revision>
  <cp:lastPrinted>2025-04-14T11:50:00Z</cp:lastPrinted>
  <dcterms:created xsi:type="dcterms:W3CDTF">2025-04-11T06:34:00Z</dcterms:created>
  <dcterms:modified xsi:type="dcterms:W3CDTF">2025-04-14T11:50:00Z</dcterms:modified>
</cp:coreProperties>
</file>