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563A0C0F" w14:textId="49A760CE" w:rsidR="006C456E" w:rsidRPr="006C456E" w:rsidRDefault="006C456E" w:rsidP="00E77788">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7F376C">
              <w:trPr>
                <w:trHeight w:val="5781"/>
              </w:trPr>
              <w:tc>
                <w:tcPr>
                  <w:tcW w:w="7967" w:type="dxa"/>
                </w:tcPr>
                <w:p w14:paraId="7EBD83F4" w14:textId="68A61182" w:rsidR="002D0A46" w:rsidRPr="00336E97" w:rsidRDefault="005404F2" w:rsidP="002D0A46">
                  <w:pPr>
                    <w:spacing w:line="32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やさしい本文と学びやすい見開き構成</w:t>
                  </w:r>
                  <w:r w:rsidR="00207B23">
                    <w:rPr>
                      <w:rFonts w:ascii="ＭＳ ゴシック" w:eastAsia="ＭＳ ゴシック" w:hAnsi="ＭＳ ゴシック" w:hint="eastAsia"/>
                      <w:b/>
                      <w:bCs/>
                      <w:color w:val="0070C0"/>
                      <w:sz w:val="18"/>
                      <w:szCs w:val="18"/>
                    </w:rPr>
                    <w:t>である。</w:t>
                  </w:r>
                </w:p>
                <w:p w14:paraId="477C2BBD" w14:textId="5890E7BB" w:rsidR="002D0A46" w:rsidRPr="00FC05C3" w:rsidRDefault="005404F2" w:rsidP="00207B23">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本文は基礎・基本に徹したやさしい英語で、分量が抑えられている。左ページに本文と文法のターゲットを、右ページに内容確認の問い、本文の要約、本文</w:t>
                  </w:r>
                  <w:r w:rsidR="007F376C">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関連したやりとり、</w:t>
                  </w:r>
                  <w:r w:rsidR="0051061F">
                    <w:rPr>
                      <w:rFonts w:ascii="ＭＳ ゴシック" w:eastAsia="ＭＳ ゴシック" w:hAnsi="ＭＳ ゴシック" w:hint="eastAsia"/>
                      <w:sz w:val="16"/>
                      <w:szCs w:val="16"/>
                    </w:rPr>
                    <w:t>思考力を高める問いが配置されている。見やすく学びやすい見開き構成である。</w:t>
                  </w:r>
                </w:p>
                <w:p w14:paraId="0A1F5D70" w14:textId="40881497" w:rsidR="00207B23" w:rsidRPr="00207B23"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生徒の学ぶ意欲を引き出す、身近で多様な題材</w:t>
                  </w:r>
                  <w:r w:rsidR="007F376C">
                    <w:rPr>
                      <w:rFonts w:ascii="ＭＳ ゴシック" w:eastAsia="ＭＳ ゴシック" w:hAnsi="ＭＳ ゴシック" w:hint="eastAsia"/>
                      <w:b/>
                      <w:bCs/>
                      <w:color w:val="0070C0"/>
                      <w:sz w:val="18"/>
                      <w:szCs w:val="18"/>
                    </w:rPr>
                    <w:t>内容である</w:t>
                  </w:r>
                  <w:r>
                    <w:rPr>
                      <w:rFonts w:ascii="ＭＳ ゴシック" w:eastAsia="ＭＳ ゴシック" w:hAnsi="ＭＳ ゴシック" w:hint="eastAsia"/>
                      <w:b/>
                      <w:bCs/>
                      <w:color w:val="0070C0"/>
                      <w:sz w:val="18"/>
                      <w:szCs w:val="18"/>
                    </w:rPr>
                    <w:t>。</w:t>
                  </w:r>
                </w:p>
                <w:p w14:paraId="7832AFA6" w14:textId="0865D10E" w:rsidR="002D0A46" w:rsidRPr="00147D27" w:rsidRDefault="0051061F" w:rsidP="002D0A46">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身近な生活から地球環境や平和に至るまで、幅広いジャンルが扱われている。スポーツ、自然、科学技術、人物、比較文化など、</w:t>
                  </w:r>
                  <w:r w:rsidR="003046DD">
                    <w:rPr>
                      <w:rFonts w:ascii="ＭＳ ゴシック" w:eastAsia="ＭＳ ゴシック" w:hAnsi="ＭＳ ゴシック" w:hint="eastAsia"/>
                      <w:sz w:val="16"/>
                      <w:szCs w:val="16"/>
                    </w:rPr>
                    <w:t>多様な題材で</w:t>
                  </w:r>
                  <w:r>
                    <w:rPr>
                      <w:rFonts w:ascii="ＭＳ ゴシック" w:eastAsia="ＭＳ ゴシック" w:hAnsi="ＭＳ ゴシック" w:hint="eastAsia"/>
                      <w:sz w:val="16"/>
                      <w:szCs w:val="16"/>
                    </w:rPr>
                    <w:t>生徒の学ぶ意欲を引き出すことができる。</w:t>
                  </w:r>
                </w:p>
                <w:p w14:paraId="4B897741" w14:textId="10F9B4FB" w:rsidR="002D0A46" w:rsidRPr="002D0A46"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段階的に配置された、取り組みやすい言語活動</w:t>
                  </w:r>
                  <w:r w:rsidR="003046DD">
                    <w:rPr>
                      <w:rFonts w:ascii="ＭＳ ゴシック" w:eastAsia="ＭＳ ゴシック" w:hAnsi="ＭＳ ゴシック" w:hint="eastAsia"/>
                      <w:b/>
                      <w:bCs/>
                      <w:color w:val="0070C0"/>
                      <w:sz w:val="18"/>
                      <w:szCs w:val="18"/>
                    </w:rPr>
                    <w:t>の構成</w:t>
                  </w:r>
                  <w:r>
                    <w:rPr>
                      <w:rFonts w:ascii="ＭＳ ゴシック" w:eastAsia="ＭＳ ゴシック" w:hAnsi="ＭＳ ゴシック" w:hint="eastAsia"/>
                      <w:b/>
                      <w:bCs/>
                      <w:color w:val="0070C0"/>
                      <w:sz w:val="18"/>
                      <w:szCs w:val="18"/>
                    </w:rPr>
                    <w:t>である。</w:t>
                  </w:r>
                </w:p>
                <w:p w14:paraId="73B0D90B" w14:textId="3E041814" w:rsidR="002D0A46" w:rsidRDefault="0051061F" w:rsidP="000928D5">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レッスンの導入、各セクションでの自己表現活動、課末のまとめの活動が段階的に配置されている。課末のまとめのC</w:t>
                  </w:r>
                  <w:r>
                    <w:rPr>
                      <w:rFonts w:ascii="ＭＳ ゴシック" w:eastAsia="ＭＳ ゴシック" w:hAnsi="ＭＳ ゴシック"/>
                      <w:sz w:val="16"/>
                      <w:szCs w:val="16"/>
                    </w:rPr>
                    <w:t>HALLENGE YOURSELF!</w:t>
                  </w:r>
                  <w:r>
                    <w:rPr>
                      <w:rFonts w:ascii="ＭＳ ゴシック" w:eastAsia="ＭＳ ゴシック" w:hAnsi="ＭＳ ゴシック" w:hint="eastAsia"/>
                      <w:sz w:val="16"/>
                      <w:szCs w:val="16"/>
                    </w:rPr>
                    <w:t>では、丁寧なステップを積み重ねることで、5領域の活動をスムーズに行うことができる。</w:t>
                  </w:r>
                </w:p>
                <w:p w14:paraId="6283726E" w14:textId="0A0D429E" w:rsidR="002D0A46" w:rsidRPr="00125FCB" w:rsidRDefault="0051061F"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わかりやすく、定着が図りやすい文法学習</w:t>
                  </w:r>
                  <w:r w:rsidR="003046DD">
                    <w:rPr>
                      <w:rFonts w:ascii="ＭＳ ゴシック" w:eastAsia="ＭＳ ゴシック" w:hAnsi="ＭＳ ゴシック" w:hint="eastAsia"/>
                      <w:b/>
                      <w:bCs/>
                      <w:color w:val="0070C0"/>
                      <w:sz w:val="18"/>
                      <w:szCs w:val="18"/>
                    </w:rPr>
                    <w:t>の構成</w:t>
                  </w:r>
                  <w:r w:rsidR="000928D5">
                    <w:rPr>
                      <w:rFonts w:ascii="ＭＳ ゴシック" w:eastAsia="ＭＳ ゴシック" w:hAnsi="ＭＳ ゴシック" w:hint="eastAsia"/>
                      <w:b/>
                      <w:bCs/>
                      <w:color w:val="0070C0"/>
                      <w:sz w:val="18"/>
                      <w:szCs w:val="18"/>
                    </w:rPr>
                    <w:t>である。</w:t>
                  </w:r>
                </w:p>
                <w:p w14:paraId="67C9D47A" w14:textId="35D210A4" w:rsidR="002D0A46" w:rsidRDefault="0051061F" w:rsidP="002D0A46">
                  <w:pPr>
                    <w:spacing w:line="32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本文ページに文法のターゲット文を明示され、課末に文法解説のS</w:t>
                  </w:r>
                  <w:r>
                    <w:rPr>
                      <w:rFonts w:ascii="ＭＳ ゴシック" w:eastAsia="ＭＳ ゴシック" w:hAnsi="ＭＳ ゴシック"/>
                      <w:sz w:val="16"/>
                      <w:szCs w:val="16"/>
                    </w:rPr>
                    <w:t>TUDY IT!</w:t>
                  </w:r>
                  <w:r>
                    <w:rPr>
                      <w:rFonts w:ascii="ＭＳ ゴシック" w:eastAsia="ＭＳ ゴシック" w:hAnsi="ＭＳ ゴシック" w:hint="eastAsia"/>
                      <w:sz w:val="16"/>
                      <w:szCs w:val="16"/>
                    </w:rPr>
                    <w:t>と、確認問題および言語活動のP</w:t>
                  </w:r>
                  <w:r>
                    <w:rPr>
                      <w:rFonts w:ascii="ＭＳ ゴシック" w:eastAsia="ＭＳ ゴシック" w:hAnsi="ＭＳ ゴシック"/>
                      <w:sz w:val="16"/>
                      <w:szCs w:val="16"/>
                    </w:rPr>
                    <w:t>RACTICE!</w:t>
                  </w:r>
                  <w:r>
                    <w:rPr>
                      <w:rFonts w:ascii="ＭＳ ゴシック" w:eastAsia="ＭＳ ゴシック" w:hAnsi="ＭＳ ゴシック" w:hint="eastAsia"/>
                      <w:sz w:val="16"/>
                      <w:szCs w:val="16"/>
                    </w:rPr>
                    <w:t>が見開きで配置されている。本文では前レッスンの文法事項を繰り返し復習するなど、文法事項の定着が図りやすい構成である。</w:t>
                  </w:r>
                </w:p>
                <w:p w14:paraId="44E94973" w14:textId="5FD414C1" w:rsidR="002D0A46" w:rsidRPr="00125FCB" w:rsidRDefault="005B07AB" w:rsidP="002D0A46">
                  <w:pPr>
                    <w:spacing w:line="32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中学校と「英語コミュニケーションⅠ」の復習ができる構成である。</w:t>
                  </w:r>
                </w:p>
                <w:p w14:paraId="6F4EBD91" w14:textId="7B4CDF87" w:rsidR="00125FCB" w:rsidRPr="007F376C" w:rsidRDefault="008B39DB" w:rsidP="002F7BE1">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掲載されている英文の</w:t>
                  </w:r>
                  <w:r w:rsidR="005B07AB">
                    <w:rPr>
                      <w:rFonts w:ascii="ＭＳ ゴシック" w:eastAsia="ＭＳ ゴシック" w:hAnsi="ＭＳ ゴシック" w:hint="eastAsia"/>
                      <w:sz w:val="16"/>
                      <w:szCs w:val="16"/>
                    </w:rPr>
                    <w:t>語彙、表現、文型・文法など</w:t>
                  </w:r>
                  <w:r>
                    <w:rPr>
                      <w:rFonts w:ascii="ＭＳ ゴシック" w:eastAsia="ＭＳ ゴシック" w:hAnsi="ＭＳ ゴシック" w:hint="eastAsia"/>
                      <w:sz w:val="16"/>
                      <w:szCs w:val="16"/>
                    </w:rPr>
                    <w:t>は基本的なものを扱っているため、「基礎・基本」の定着が図りやすい。</w:t>
                  </w:r>
                </w:p>
              </w:tc>
            </w:tr>
          </w:tbl>
          <w:p w14:paraId="76EF2412" w14:textId="77777777" w:rsidR="000B5171" w:rsidRDefault="000B5171" w:rsidP="00E77788">
            <w:pPr>
              <w:spacing w:line="160" w:lineRule="exact"/>
              <w:rPr>
                <w:rFonts w:ascii="ＭＳ ゴシック" w:eastAsia="ＭＳ ゴシック" w:hAnsi="ＭＳ ゴシック"/>
                <w:color w:val="0070C0"/>
                <w:sz w:val="18"/>
                <w:szCs w:val="18"/>
              </w:rPr>
            </w:pPr>
          </w:p>
          <w:p w14:paraId="5E8D7425" w14:textId="22623DEB"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Pr="00636B3F">
              <w:rPr>
                <w:rFonts w:ascii="ＭＳ ゴシック" w:eastAsia="ＭＳ ゴシック" w:hAnsi="ＭＳ ゴシック" w:hint="eastAsia"/>
                <w:sz w:val="18"/>
                <w:szCs w:val="18"/>
              </w:rPr>
              <w:t>多様化している生徒の実態を考慮し、質</w:t>
            </w:r>
            <w:r w:rsidR="00C61359">
              <w:rPr>
                <w:rFonts w:ascii="ＭＳ ゴシック" w:eastAsia="ＭＳ ゴシック" w:hAnsi="ＭＳ ゴシック" w:hint="eastAsia"/>
                <w:sz w:val="18"/>
                <w:szCs w:val="18"/>
              </w:rPr>
              <w:t>・</w:t>
            </w:r>
            <w:r w:rsidRPr="00636B3F">
              <w:rPr>
                <w:rFonts w:ascii="ＭＳ ゴシック" w:eastAsia="ＭＳ ゴシック" w:hAnsi="ＭＳ ゴシック" w:hint="eastAsia"/>
                <w:sz w:val="18"/>
                <w:szCs w:val="18"/>
              </w:rPr>
              <w:t>量ともに充実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p w14:paraId="73AD87DB" w14:textId="442C8224" w:rsidR="00A61478" w:rsidRDefault="00A61478" w:rsidP="008B39DB">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8B39DB">
              <w:rPr>
                <w:rFonts w:ascii="ＭＳ ゴシック" w:eastAsia="ＭＳ ゴシック" w:hAnsi="ＭＳ ゴシック" w:hint="eastAsia"/>
                <w:sz w:val="18"/>
                <w:szCs w:val="18"/>
              </w:rPr>
              <w:t>5</w:t>
            </w:r>
            <w:r w:rsidR="008B39DB"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sidR="008B39DB">
              <w:rPr>
                <w:rFonts w:ascii="ＭＳ ゴシック" w:eastAsia="ＭＳ ゴシック" w:hAnsi="ＭＳ ゴシック" w:hint="eastAsia"/>
                <w:sz w:val="18"/>
                <w:szCs w:val="18"/>
              </w:rPr>
              <w:t>が工夫されている</w:t>
            </w:r>
            <w:r w:rsidR="008B39DB" w:rsidRPr="00636B3F">
              <w:rPr>
                <w:rFonts w:ascii="ＭＳ ゴシック" w:eastAsia="ＭＳ ゴシック" w:hAnsi="ＭＳ ゴシック" w:hint="eastAsia"/>
                <w:sz w:val="18"/>
                <w:szCs w:val="18"/>
              </w:rPr>
              <w:t>。</w:t>
            </w:r>
          </w:p>
          <w:p w14:paraId="6341C349" w14:textId="44705D39"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8B39DB"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8B39DB">
              <w:rPr>
                <w:rFonts w:ascii="ＭＳ ゴシック" w:eastAsia="ＭＳ ゴシック" w:hAnsi="ＭＳ ゴシック" w:hint="eastAsia"/>
                <w:sz w:val="18"/>
                <w:szCs w:val="18"/>
              </w:rPr>
              <w:t>を</w:t>
            </w:r>
            <w:r w:rsidR="008B39DB" w:rsidRPr="00636B3F">
              <w:rPr>
                <w:rFonts w:ascii="ＭＳ ゴシック" w:eastAsia="ＭＳ ゴシック" w:hAnsi="ＭＳ ゴシック" w:hint="eastAsia"/>
                <w:sz w:val="18"/>
                <w:szCs w:val="18"/>
              </w:rPr>
              <w:t>育成</w:t>
            </w:r>
            <w:r w:rsidR="008B39DB">
              <w:rPr>
                <w:rFonts w:ascii="ＭＳ ゴシック" w:eastAsia="ＭＳ ゴシック" w:hAnsi="ＭＳ ゴシック" w:hint="eastAsia"/>
                <w:sz w:val="18"/>
                <w:szCs w:val="18"/>
              </w:rPr>
              <w:t>できる</w:t>
            </w:r>
            <w:r w:rsidR="008B39DB" w:rsidRPr="00636B3F">
              <w:rPr>
                <w:rFonts w:ascii="ＭＳ ゴシック" w:eastAsia="ＭＳ ゴシック" w:hAnsi="ＭＳ ゴシック" w:hint="eastAsia"/>
                <w:sz w:val="18"/>
                <w:szCs w:val="18"/>
              </w:rPr>
              <w:t>。</w:t>
            </w:r>
          </w:p>
          <w:p w14:paraId="6CEDA28E" w14:textId="562C8780"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8B39DB"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8B39DB">
              <w:rPr>
                <w:rFonts w:ascii="ＭＳ ゴシック" w:eastAsia="ＭＳ ゴシック" w:hAnsi="ＭＳ ゴシック" w:hint="eastAsia"/>
                <w:sz w:val="18"/>
                <w:szCs w:val="18"/>
              </w:rPr>
              <w:t>になっている</w:t>
            </w:r>
            <w:r w:rsidR="008B39DB" w:rsidRPr="00636B3F">
              <w:rPr>
                <w:rFonts w:ascii="ＭＳ ゴシック" w:eastAsia="ＭＳ ゴシック" w:hAnsi="ＭＳ ゴシック" w:hint="eastAsia"/>
                <w:sz w:val="18"/>
                <w:szCs w:val="18"/>
              </w:rPr>
              <w:t>。</w:t>
            </w:r>
          </w:p>
          <w:p w14:paraId="73821606" w14:textId="5BC79FBA"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8B39DB"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w:t>
            </w:r>
            <w:r w:rsidR="008B39DB">
              <w:rPr>
                <w:rFonts w:ascii="ＭＳ ゴシック" w:eastAsia="ＭＳ ゴシック" w:hAnsi="ＭＳ ゴシック" w:hint="eastAsia"/>
                <w:sz w:val="18"/>
                <w:szCs w:val="18"/>
              </w:rPr>
              <w:t>したり</w:t>
            </w:r>
            <w:r w:rsidR="008B39DB" w:rsidRPr="00636B3F">
              <w:rPr>
                <w:rFonts w:ascii="ＭＳ ゴシック" w:eastAsia="ＭＳ ゴシック" w:hAnsi="ＭＳ ゴシック" w:hint="eastAsia"/>
                <w:sz w:val="18"/>
                <w:szCs w:val="18"/>
              </w:rPr>
              <w:t>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sidR="008B39DB">
              <w:rPr>
                <w:rFonts w:ascii="ＭＳ ゴシック" w:eastAsia="ＭＳ ゴシック" w:hAnsi="ＭＳ ゴシック" w:hint="eastAsia"/>
                <w:sz w:val="18"/>
                <w:szCs w:val="18"/>
              </w:rPr>
              <w:t>なっている</w:t>
            </w:r>
            <w:r w:rsidR="008B39DB" w:rsidRPr="00636B3F">
              <w:rPr>
                <w:rFonts w:ascii="ＭＳ ゴシック" w:eastAsia="ＭＳ ゴシック" w:hAnsi="ＭＳ ゴシック" w:hint="eastAsia"/>
                <w:sz w:val="18"/>
                <w:szCs w:val="18"/>
              </w:rPr>
              <w:t>。</w:t>
            </w:r>
          </w:p>
          <w:p w14:paraId="6093C882" w14:textId="51B0F262"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8B39DB" w:rsidRPr="008B39DB">
              <w:rPr>
                <w:rFonts w:ascii="ＭＳ ゴシック" w:eastAsia="ＭＳ ゴシック" w:hAnsi="ＭＳ ゴシック" w:hint="eastAsia"/>
                <w:color w:val="000000" w:themeColor="text1"/>
                <w:sz w:val="18"/>
                <w:szCs w:val="18"/>
              </w:rPr>
              <w:t>中学校</w:t>
            </w:r>
            <w:r w:rsidR="008B39DB">
              <w:rPr>
                <w:rFonts w:ascii="ＭＳ ゴシック" w:eastAsia="ＭＳ ゴシック" w:hAnsi="ＭＳ ゴシック" w:hint="eastAsia"/>
                <w:color w:val="000000" w:themeColor="text1"/>
                <w:sz w:val="18"/>
                <w:szCs w:val="18"/>
              </w:rPr>
              <w:t>と「英語コミュニケーションⅠ」の内容を踏まえ、「基礎・基本」の定着ができる。</w:t>
            </w:r>
          </w:p>
          <w:p w14:paraId="49191CB6" w14:textId="50A1F9E7" w:rsidR="006E30B3" w:rsidRPr="00A841E3" w:rsidRDefault="00A61478" w:rsidP="00A61478">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Pr="00636B3F">
              <w:rPr>
                <w:rFonts w:ascii="ＭＳ ゴシック" w:eastAsia="ＭＳ ゴシック" w:hAnsi="ＭＳ ゴシック" w:hint="eastAsia"/>
                <w:sz w:val="18"/>
                <w:szCs w:val="18"/>
              </w:rPr>
              <w:t>学んだ内容の深化・発展に弾力的に取り組めるように、活動、選択的教材、巻末の付録など</w:t>
            </w:r>
            <w:r>
              <w:rPr>
                <w:rFonts w:ascii="ＭＳ ゴシック" w:eastAsia="ＭＳ ゴシック" w:hAnsi="ＭＳ ゴシック" w:hint="eastAsia"/>
                <w:sz w:val="18"/>
                <w:szCs w:val="18"/>
              </w:rPr>
              <w:t>が</w:t>
            </w:r>
            <w:r w:rsidRPr="00636B3F">
              <w:rPr>
                <w:rFonts w:ascii="ＭＳ ゴシック" w:eastAsia="ＭＳ ゴシック" w:hAnsi="ＭＳ ゴシック" w:hint="eastAsia"/>
                <w:sz w:val="18"/>
                <w:szCs w:val="18"/>
              </w:rPr>
              <w:t>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32E06F3C"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❶</w:t>
            </w:r>
            <w:r w:rsidRPr="00A61478">
              <w:rPr>
                <w:rFonts w:ascii="ＭＳ ゴシック" w:eastAsia="ＭＳ ゴシック" w:hAnsi="ＭＳ ゴシック" w:hint="eastAsia"/>
                <w:sz w:val="18"/>
                <w:szCs w:val="18"/>
              </w:rPr>
              <w:t>カリキュラムと分量</w:t>
            </w:r>
          </w:p>
          <w:p w14:paraId="4A687438" w14:textId="42292587" w:rsidR="00A61478" w:rsidRDefault="00A61478" w:rsidP="004448C7">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教材の精選をはかり、カリキュラムにゆとり</w:t>
            </w:r>
            <w:r w:rsidR="004448C7">
              <w:rPr>
                <w:rFonts w:ascii="ＭＳ ゴシック" w:eastAsia="ＭＳ ゴシック" w:hAnsi="ＭＳ ゴシック" w:hint="eastAsia"/>
                <w:sz w:val="18"/>
                <w:szCs w:val="18"/>
              </w:rPr>
              <w:t>がある</w:t>
            </w:r>
            <w:r w:rsidRPr="00A61478">
              <w:rPr>
                <w:rFonts w:ascii="ＭＳ ゴシック" w:eastAsia="ＭＳ ゴシック" w:hAnsi="ＭＳ ゴシック" w:hint="eastAsia"/>
                <w:sz w:val="18"/>
                <w:szCs w:val="18"/>
              </w:rPr>
              <w:t>。</w:t>
            </w:r>
          </w:p>
          <w:p w14:paraId="3D62FB1D" w14:textId="77777777" w:rsidR="00A61478" w:rsidRDefault="00A61478" w:rsidP="00A61478">
            <w:pPr>
              <w:spacing w:line="300" w:lineRule="exact"/>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❷</w:t>
            </w:r>
            <w:r w:rsidRPr="00A61478">
              <w:rPr>
                <w:rFonts w:ascii="ＭＳ ゴシック" w:eastAsia="ＭＳ ゴシック" w:hAnsi="ＭＳ ゴシック" w:hint="eastAsia"/>
                <w:sz w:val="18"/>
                <w:szCs w:val="18"/>
              </w:rPr>
              <w:t>題材内容</w:t>
            </w:r>
          </w:p>
          <w:p w14:paraId="6354BE0D" w14:textId="175A7351"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4448C7">
              <w:rPr>
                <w:rFonts w:ascii="ＭＳ ゴシック" w:eastAsia="ＭＳ ゴシック" w:hAnsi="ＭＳ ゴシック" w:hint="eastAsia"/>
                <w:sz w:val="18"/>
                <w:szCs w:val="18"/>
              </w:rPr>
              <w:t>である</w:t>
            </w:r>
            <w:r w:rsidRPr="00A61478">
              <w:rPr>
                <w:rFonts w:ascii="ＭＳ ゴシック" w:eastAsia="ＭＳ ゴシック" w:hAnsi="ＭＳ ゴシック" w:hint="eastAsia"/>
                <w:sz w:val="18"/>
                <w:szCs w:val="18"/>
              </w:rPr>
              <w:t>。</w:t>
            </w:r>
          </w:p>
          <w:p w14:paraId="3340A7E6" w14:textId="5C32C7BD"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題材は、</w:t>
            </w:r>
            <w:r w:rsidR="000928D5" w:rsidRPr="000928D5">
              <w:rPr>
                <w:rFonts w:ascii="ＭＳ ゴシック" w:eastAsia="ＭＳ ゴシック" w:hAnsi="ＭＳ ゴシック" w:hint="eastAsia"/>
                <w:sz w:val="18"/>
                <w:szCs w:val="18"/>
              </w:rPr>
              <w:t>日常生活・学校生活、日本文化、比較文化、芸術、人間としての生き方、社会貢献、スポーツ、ことば、自然、環境、歴史、科学、平和など多様な内容にした。文章は、スピーチ、インタビュー、プレゼンテーション、対話、説明文、記事、物語</w:t>
            </w:r>
            <w:r w:rsidRPr="00A61478">
              <w:rPr>
                <w:rFonts w:ascii="ＭＳ ゴシック" w:eastAsia="ＭＳ ゴシック" w:hAnsi="ＭＳ ゴシック" w:hint="eastAsia"/>
                <w:sz w:val="18"/>
                <w:szCs w:val="18"/>
              </w:rPr>
              <w:t>など変化をもた</w:t>
            </w:r>
            <w:r w:rsidR="004448C7">
              <w:rPr>
                <w:rFonts w:ascii="ＭＳ ゴシック" w:eastAsia="ＭＳ ゴシック" w:hAnsi="ＭＳ ゴシック" w:hint="eastAsia"/>
                <w:sz w:val="18"/>
                <w:szCs w:val="18"/>
              </w:rPr>
              <w:t>せている</w:t>
            </w:r>
            <w:r w:rsidRPr="00A61478">
              <w:rPr>
                <w:rFonts w:ascii="ＭＳ ゴシック" w:eastAsia="ＭＳ ゴシック" w:hAnsi="ＭＳ ゴシック" w:hint="eastAsia"/>
                <w:sz w:val="18"/>
                <w:szCs w:val="18"/>
              </w:rPr>
              <w:t>。</w:t>
            </w:r>
          </w:p>
          <w:p w14:paraId="547760F2" w14:textId="04E7A3D3"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場面や登場人物は、英語が広く使われている現況と国際理解の課題との関係から、日本を中心に、英米を中心とした英語圏諸国、アジア、ヨーロッパ、</w:t>
            </w:r>
            <w:r w:rsidR="000928D5" w:rsidRPr="00A61478">
              <w:rPr>
                <w:rFonts w:ascii="ＭＳ ゴシック" w:eastAsia="ＭＳ ゴシック" w:hAnsi="ＭＳ ゴシック" w:hint="eastAsia"/>
                <w:sz w:val="18"/>
                <w:szCs w:val="18"/>
              </w:rPr>
              <w:t>アフリカ、</w:t>
            </w:r>
            <w:r w:rsidR="000928D5">
              <w:rPr>
                <w:rFonts w:ascii="ＭＳ ゴシック" w:eastAsia="ＭＳ ゴシック" w:hAnsi="ＭＳ ゴシック" w:hint="eastAsia"/>
                <w:sz w:val="18"/>
                <w:szCs w:val="18"/>
              </w:rPr>
              <w:t>オセアニア、</w:t>
            </w:r>
            <w:r w:rsidRPr="00A61478">
              <w:rPr>
                <w:rFonts w:ascii="ＭＳ ゴシック" w:eastAsia="ＭＳ ゴシック" w:hAnsi="ＭＳ ゴシック" w:hint="eastAsia"/>
                <w:sz w:val="18"/>
                <w:szCs w:val="18"/>
              </w:rPr>
              <w:t>中南米の国および人物を配置し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62B70771"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lastRenderedPageBreak/>
              <w:t>❸</w:t>
            </w:r>
            <w:r w:rsidRPr="00A61478">
              <w:rPr>
                <w:rFonts w:ascii="ＭＳ ゴシック" w:eastAsia="ＭＳ ゴシック" w:hAnsi="ＭＳ ゴシック" w:hint="eastAsia"/>
                <w:sz w:val="18"/>
                <w:szCs w:val="18"/>
              </w:rPr>
              <w:t>言語材料の扱い</w:t>
            </w:r>
          </w:p>
          <w:p w14:paraId="3B2FC251" w14:textId="48312F4E"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言語材料は、活発で多様な言語活動を展開することができる</w:t>
            </w:r>
            <w:r w:rsidR="008E69D2">
              <w:rPr>
                <w:rFonts w:ascii="ＭＳ ゴシック" w:eastAsia="ＭＳ ゴシック" w:hAnsi="ＭＳ ゴシック" w:hint="eastAsia"/>
                <w:sz w:val="18"/>
                <w:szCs w:val="18"/>
              </w:rPr>
              <w:t>ものが扱われている</w:t>
            </w:r>
            <w:r w:rsidRPr="00A61478">
              <w:rPr>
                <w:rFonts w:ascii="ＭＳ ゴシック" w:eastAsia="ＭＳ ゴシック" w:hAnsi="ＭＳ ゴシック" w:hint="eastAsia"/>
                <w:sz w:val="18"/>
                <w:szCs w:val="18"/>
              </w:rPr>
              <w:t>。</w:t>
            </w:r>
          </w:p>
          <w:p w14:paraId="141C8C73" w14:textId="6D9BB143"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「文法事項」は、表現活動に活用することを基本として、「英語コミュニケーション</w:t>
            </w:r>
            <w:r w:rsidR="008B39DB">
              <w:rPr>
                <w:rFonts w:ascii="ＭＳ ゴシック" w:eastAsia="ＭＳ ゴシック" w:hAnsi="ＭＳ ゴシック" w:hint="eastAsia"/>
                <w:sz w:val="18"/>
                <w:szCs w:val="18"/>
              </w:rPr>
              <w:t>Ⅱ</w:t>
            </w:r>
            <w:r w:rsidRPr="00A61478">
              <w:rPr>
                <w:rFonts w:ascii="ＭＳ ゴシック" w:eastAsia="ＭＳ ゴシック" w:hAnsi="ＭＳ ゴシック" w:hint="eastAsia"/>
                <w:sz w:val="18"/>
                <w:szCs w:val="18"/>
              </w:rPr>
              <w:t>」では、</w:t>
            </w:r>
            <w:r w:rsidR="008B39DB">
              <w:rPr>
                <w:rFonts w:ascii="ＭＳ ゴシック" w:eastAsia="ＭＳ ゴシック" w:hAnsi="ＭＳ ゴシック" w:hint="eastAsia"/>
                <w:sz w:val="18"/>
                <w:szCs w:val="18"/>
              </w:rPr>
              <w:t>5領域の目標を達成するのにふさわしい文法事項が扱われている。</w:t>
            </w:r>
          </w:p>
          <w:p w14:paraId="303D50E7" w14:textId="1CCEF2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「文構造」は、英語で言語活動を行うにあたって使用できるように、より運用度が高いもの</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0B7D7F1C" w14:textId="77777777" w:rsidR="007F4CC9" w:rsidRDefault="007F4CC9"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928D5" w:rsidRPr="000928D5">
              <w:rPr>
                <w:rFonts w:ascii="ＭＳ ゴシック" w:eastAsia="ＭＳ ゴシック" w:hAnsi="ＭＳ ゴシック" w:hint="eastAsia"/>
                <w:sz w:val="18"/>
                <w:szCs w:val="18"/>
              </w:rPr>
              <w:t>基本文」は「STUDY IT!」で示し、既習語による文として提示</w:t>
            </w:r>
            <w:r>
              <w:rPr>
                <w:rFonts w:ascii="ＭＳ ゴシック" w:eastAsia="ＭＳ ゴシック" w:hAnsi="ＭＳ ゴシック" w:hint="eastAsia"/>
                <w:sz w:val="18"/>
                <w:szCs w:val="18"/>
              </w:rPr>
              <w:t>されている</w:t>
            </w:r>
            <w:r w:rsidR="000928D5" w:rsidRPr="000928D5">
              <w:rPr>
                <w:rFonts w:ascii="ＭＳ ゴシック" w:eastAsia="ＭＳ ゴシック" w:hAnsi="ＭＳ ゴシック" w:hint="eastAsia"/>
                <w:sz w:val="18"/>
                <w:szCs w:val="18"/>
              </w:rPr>
              <w:t xml:space="preserve">。 </w:t>
            </w:r>
          </w:p>
          <w:p w14:paraId="2A9E00AD" w14:textId="2589557B" w:rsidR="00A61478" w:rsidRDefault="007F4CC9"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928D5" w:rsidRPr="000928D5">
              <w:rPr>
                <w:rFonts w:ascii="ＭＳ ゴシック" w:eastAsia="ＭＳ ゴシック" w:hAnsi="ＭＳ ゴシック" w:hint="eastAsia"/>
                <w:sz w:val="18"/>
                <w:szCs w:val="18"/>
              </w:rPr>
              <w:t>「単語」は、中学校までの既習語を2</w:t>
            </w:r>
            <w:r w:rsidR="00C61359">
              <w:rPr>
                <w:rFonts w:ascii="ＭＳ ゴシック" w:eastAsia="ＭＳ ゴシック" w:hAnsi="ＭＳ ゴシック"/>
                <w:sz w:val="18"/>
                <w:szCs w:val="18"/>
              </w:rPr>
              <w:t>,</w:t>
            </w:r>
            <w:r w:rsidR="000928D5" w:rsidRPr="000928D5">
              <w:rPr>
                <w:rFonts w:ascii="ＭＳ ゴシック" w:eastAsia="ＭＳ ゴシック" w:hAnsi="ＭＳ ゴシック" w:hint="eastAsia"/>
                <w:sz w:val="18"/>
                <w:szCs w:val="18"/>
              </w:rPr>
              <w:t>20</w:t>
            </w:r>
            <w:r w:rsidR="00FC30EC">
              <w:rPr>
                <w:rFonts w:ascii="ＭＳ ゴシック" w:eastAsia="ＭＳ ゴシック" w:hAnsi="ＭＳ ゴシック" w:hint="eastAsia"/>
                <w:sz w:val="18"/>
                <w:szCs w:val="18"/>
              </w:rPr>
              <w:t>7</w:t>
            </w:r>
            <w:r w:rsidR="000928D5" w:rsidRPr="000928D5">
              <w:rPr>
                <w:rFonts w:ascii="ＭＳ ゴシック" w:eastAsia="ＭＳ ゴシック" w:hAnsi="ＭＳ ゴシック" w:hint="eastAsia"/>
                <w:sz w:val="18"/>
                <w:szCs w:val="18"/>
              </w:rPr>
              <w:t>語</w:t>
            </w:r>
            <w:r w:rsidR="000217D6">
              <w:rPr>
                <w:rFonts w:ascii="ＭＳ ゴシック" w:eastAsia="ＭＳ ゴシック" w:hAnsi="ＭＳ ゴシック" w:hint="eastAsia"/>
                <w:sz w:val="18"/>
                <w:szCs w:val="18"/>
              </w:rPr>
              <w:t>、「英語コミュニケーションⅠ」の既習語を406語</w:t>
            </w:r>
            <w:r w:rsidR="000928D5" w:rsidRPr="000928D5">
              <w:rPr>
                <w:rFonts w:ascii="ＭＳ ゴシック" w:eastAsia="ＭＳ ゴシック" w:hAnsi="ＭＳ ゴシック" w:hint="eastAsia"/>
                <w:sz w:val="18"/>
                <w:szCs w:val="18"/>
              </w:rPr>
              <w:t>とし、それ以外の語を新語として傍注で示し</w:t>
            </w:r>
            <w:r>
              <w:rPr>
                <w:rFonts w:ascii="ＭＳ ゴシック" w:eastAsia="ＭＳ ゴシック" w:hAnsi="ＭＳ ゴシック" w:hint="eastAsia"/>
                <w:sz w:val="18"/>
                <w:szCs w:val="18"/>
              </w:rPr>
              <w:t>ている</w:t>
            </w:r>
            <w:r w:rsidR="000928D5" w:rsidRPr="000928D5">
              <w:rPr>
                <w:rFonts w:ascii="ＭＳ ゴシック" w:eastAsia="ＭＳ ゴシック" w:hAnsi="ＭＳ ゴシック" w:hint="eastAsia"/>
                <w:sz w:val="18"/>
                <w:szCs w:val="18"/>
              </w:rPr>
              <w:t>。</w:t>
            </w:r>
            <w:r w:rsidRPr="007F4CC9">
              <w:rPr>
                <w:rFonts w:ascii="ＭＳ ゴシック" w:eastAsia="ＭＳ ゴシック" w:hAnsi="ＭＳ ゴシック" w:hint="eastAsia"/>
                <w:sz w:val="18"/>
                <w:szCs w:val="18"/>
              </w:rPr>
              <w:t>また、「連語・熟語」「表現」については、脚注上段で示し</w:t>
            </w:r>
            <w:r>
              <w:rPr>
                <w:rFonts w:ascii="ＭＳ ゴシック" w:eastAsia="ＭＳ ゴシック" w:hAnsi="ＭＳ ゴシック" w:hint="eastAsia"/>
                <w:sz w:val="18"/>
                <w:szCs w:val="18"/>
              </w:rPr>
              <w:t>ている</w:t>
            </w:r>
            <w:r w:rsidRPr="007F4CC9">
              <w:rPr>
                <w:rFonts w:ascii="ＭＳ ゴシック" w:eastAsia="ＭＳ ゴシック" w:hAnsi="ＭＳ ゴシック" w:hint="eastAsia"/>
                <w:sz w:val="18"/>
                <w:szCs w:val="18"/>
              </w:rPr>
              <w:t>。</w:t>
            </w:r>
          </w:p>
          <w:p w14:paraId="46F69267" w14:textId="128DDDBC"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「音声」については、標準的な米音を基本と</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w:t>
            </w:r>
          </w:p>
          <w:p w14:paraId="2EB94388"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❹</w:t>
            </w:r>
            <w:r w:rsidRPr="00A61478">
              <w:rPr>
                <w:rFonts w:ascii="ＭＳ ゴシック" w:eastAsia="ＭＳ ゴシック" w:hAnsi="ＭＳ ゴシック" w:hint="eastAsia"/>
                <w:sz w:val="18"/>
                <w:szCs w:val="18"/>
              </w:rPr>
              <w:t>言語活動</w:t>
            </w:r>
          </w:p>
          <w:p w14:paraId="14346F89" w14:textId="017AD62C" w:rsidR="00DD2EA9" w:rsidRPr="006C456E" w:rsidRDefault="007F4CC9" w:rsidP="00A61478">
            <w:pPr>
              <w:spacing w:line="300" w:lineRule="exact"/>
              <w:ind w:leftChars="100" w:left="210"/>
              <w:rPr>
                <w:rFonts w:ascii="ＭＳ ゴシック" w:eastAsia="ＭＳ ゴシック" w:hAnsi="ＭＳ ゴシック"/>
                <w:sz w:val="18"/>
                <w:szCs w:val="18"/>
              </w:rPr>
            </w:pPr>
            <w:r w:rsidRPr="007F4CC9">
              <w:rPr>
                <w:rFonts w:ascii="ＭＳ ゴシック" w:eastAsia="ＭＳ ゴシック" w:hAnsi="ＭＳ ゴシック" w:hint="eastAsia"/>
                <w:sz w:val="18"/>
                <w:szCs w:val="18"/>
              </w:rPr>
              <w:t>言語活動は、主に本課本文、「PRACTICE!</w:t>
            </w:r>
            <w:r w:rsidR="001A7908">
              <w:rPr>
                <w:rFonts w:ascii="ＭＳ ゴシック" w:eastAsia="ＭＳ ゴシック" w:hAnsi="ＭＳ ゴシック"/>
                <w:sz w:val="18"/>
                <w:szCs w:val="18"/>
              </w:rPr>
              <w:t xml:space="preserve"> TRY</w:t>
            </w:r>
            <w:r w:rsidRPr="007F4CC9">
              <w:rPr>
                <w:rFonts w:ascii="ＭＳ ゴシック" w:eastAsia="ＭＳ ゴシック" w:hAnsi="ＭＳ ゴシック" w:hint="eastAsia"/>
                <w:sz w:val="18"/>
                <w:szCs w:val="18"/>
              </w:rPr>
              <w:t>」「CHALLENGE YOURSELF!」などで言語の「使用場面」を考慮し、目的や場面、状況に応じてコミュニケーションを図れる。また、</w:t>
            </w:r>
            <w:r>
              <w:rPr>
                <w:rFonts w:ascii="ＭＳ ゴシック" w:eastAsia="ＭＳ ゴシック" w:hAnsi="ＭＳ ゴシック" w:hint="eastAsia"/>
                <w:sz w:val="18"/>
                <w:szCs w:val="18"/>
              </w:rPr>
              <w:t>5</w:t>
            </w:r>
            <w:r w:rsidRPr="007F4CC9">
              <w:rPr>
                <w:rFonts w:ascii="ＭＳ ゴシック" w:eastAsia="ＭＳ ゴシック" w:hAnsi="ＭＳ ゴシック" w:hint="eastAsia"/>
                <w:sz w:val="18"/>
                <w:szCs w:val="18"/>
              </w:rPr>
              <w:t>領域の総合的・統合的な関連を図り、思考力・判断力・表現力を養成できる。「言語の働き」についても留意し、特に会話で多用される慣用的な表現について、中学校までの体験や学習を踏まえながら、</w:t>
            </w:r>
            <w:r w:rsidR="00A61478" w:rsidRPr="00A61478">
              <w:rPr>
                <w:rFonts w:ascii="ＭＳ ゴシック" w:eastAsia="ＭＳ ゴシック" w:hAnsi="ＭＳ ゴシック" w:hint="eastAsia"/>
                <w:sz w:val="18"/>
                <w:szCs w:val="18"/>
              </w:rPr>
              <w:t>基本的なものを精選して系統的に扱っ</w:t>
            </w:r>
            <w:r w:rsidR="004448C7">
              <w:rPr>
                <w:rFonts w:ascii="ＭＳ ゴシック" w:eastAsia="ＭＳ ゴシック" w:hAnsi="ＭＳ ゴシック" w:hint="eastAsia"/>
                <w:sz w:val="18"/>
                <w:szCs w:val="18"/>
              </w:rPr>
              <w:t>ている</w:t>
            </w:r>
            <w:r w:rsidR="00A61478" w:rsidRPr="00A61478">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20305FB3" w:rsidR="00DD2EA9" w:rsidRPr="006C456E" w:rsidRDefault="00DD2EA9" w:rsidP="00E77788">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1A7908">
              <w:rPr>
                <w:rFonts w:ascii="ＭＳ ゴシック" w:eastAsia="ＭＳ ゴシック" w:hAnsi="ＭＳ ゴシック" w:hint="eastAsia"/>
                <w:sz w:val="18"/>
                <w:szCs w:val="18"/>
              </w:rPr>
              <w:t>され</w:t>
            </w:r>
            <w:r w:rsidR="006D5A34" w:rsidRPr="006C456E">
              <w:rPr>
                <w:rFonts w:ascii="ＭＳ ゴシック" w:eastAsia="ＭＳ ゴシック" w:hAnsi="ＭＳ ゴシック" w:hint="eastAsia"/>
                <w:sz w:val="18"/>
                <w:szCs w:val="18"/>
              </w:rPr>
              <w:t>ており、生徒が理解しやすい記述になっている。</w:t>
            </w:r>
          </w:p>
          <w:p w14:paraId="6A92D10B" w14:textId="0479F87C" w:rsidR="002F5F4F" w:rsidRPr="006C456E" w:rsidRDefault="002F5F4F"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7635AF">
              <w:rPr>
                <w:rFonts w:ascii="ＭＳ ゴシック" w:eastAsia="ＭＳ ゴシック" w:hAnsi="ＭＳ ゴシック" w:hint="eastAsia"/>
                <w:sz w:val="18"/>
                <w:szCs w:val="18"/>
              </w:rPr>
              <w:t>注釈は</w:t>
            </w:r>
            <w:r w:rsidRPr="006C456E">
              <w:rPr>
                <w:rFonts w:ascii="ＭＳ ゴシック" w:eastAsia="ＭＳ ゴシック" w:hAnsi="ＭＳ ゴシック" w:hint="eastAsia"/>
                <w:sz w:val="18"/>
                <w:szCs w:val="18"/>
              </w:rPr>
              <w:t>分量・内容とも適切である。また、平易な表現で記述されており、生徒の理解を助けるものとなっている。</w:t>
            </w:r>
          </w:p>
          <w:p w14:paraId="17F32846" w14:textId="7A7684BE" w:rsidR="00E01DD6"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77788">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1BF9B5DE"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w:t>
            </w:r>
            <w:r w:rsidR="001A7908">
              <w:rPr>
                <w:rFonts w:ascii="ＭＳ ゴシック" w:eastAsia="ＭＳ ゴシック" w:hAnsi="ＭＳ ゴシック" w:hint="eastAsia"/>
                <w:sz w:val="18"/>
                <w:szCs w:val="18"/>
              </w:rPr>
              <w:t>）に配慮し、誰もが使いやすい教科書となるよう工夫し</w:t>
            </w:r>
            <w:r w:rsidR="00A37835" w:rsidRPr="006C456E">
              <w:rPr>
                <w:rFonts w:ascii="ＭＳ ゴシック" w:eastAsia="ＭＳ ゴシック" w:hAnsi="ＭＳ ゴシック" w:hint="eastAsia"/>
                <w:sz w:val="18"/>
                <w:szCs w:val="18"/>
              </w:rPr>
              <w:t>ている。</w:t>
            </w:r>
          </w:p>
          <w:p w14:paraId="29D063E4" w14:textId="639F71EA" w:rsidR="00B02FF9"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77788">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0FAD29B7" w:rsidR="005F2FB6" w:rsidRPr="006C456E" w:rsidRDefault="00873017" w:rsidP="00E77788">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1A7908">
              <w:rPr>
                <w:rFonts w:ascii="ＭＳ ゴシック" w:eastAsia="ＭＳ ゴシック" w:hAnsi="ＭＳ ゴシック" w:hint="eastAsia"/>
                <w:sz w:val="18"/>
                <w:szCs w:val="18"/>
              </w:rPr>
              <w:t>思考力・判断力・表現力等の育成に資する工夫が</w:t>
            </w:r>
            <w:r w:rsidR="00B02FF9" w:rsidRPr="006C456E">
              <w:rPr>
                <w:rFonts w:ascii="ＭＳ ゴシック" w:eastAsia="ＭＳ ゴシック" w:hAnsi="ＭＳ ゴシック" w:hint="eastAsia"/>
                <w:sz w:val="18"/>
                <w:szCs w:val="18"/>
              </w:rPr>
              <w:t>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831842">
              <w:rPr>
                <w:rFonts w:ascii="ＭＳ ゴシック" w:eastAsia="ＭＳ ゴシック" w:hAnsi="ＭＳ ゴシック" w:hint="eastAsia"/>
                <w:sz w:val="18"/>
                <w:szCs w:val="18"/>
              </w:rPr>
              <w:t>Ⅱ</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F86C7F" w:rsidRDefault="001F1C2F" w:rsidP="00E77788">
      <w:pPr>
        <w:spacing w:line="300" w:lineRule="exact"/>
        <w:rPr>
          <w:sz w:val="18"/>
          <w:szCs w:val="18"/>
        </w:rPr>
      </w:pPr>
    </w:p>
    <w:sectPr w:rsidR="001F1C2F" w:rsidRPr="00F86C7F"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3822" w14:textId="77777777" w:rsidR="000A21B8" w:rsidRDefault="000A21B8" w:rsidP="00E13A33">
      <w:r>
        <w:separator/>
      </w:r>
    </w:p>
  </w:endnote>
  <w:endnote w:type="continuationSeparator" w:id="0">
    <w:p w14:paraId="7D2BEF5E" w14:textId="77777777" w:rsidR="000A21B8" w:rsidRDefault="000A21B8"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5490"/>
      <w:docPartObj>
        <w:docPartGallery w:val="Page Numbers (Bottom of Page)"/>
        <w:docPartUnique/>
      </w:docPartObj>
    </w:sdtPr>
    <w:sdtContent>
      <w:p w14:paraId="78103067" w14:textId="15EAE997" w:rsidR="00F86C7F" w:rsidRDefault="007B2B26" w:rsidP="007B2B26">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9954" w14:textId="77777777" w:rsidR="000A21B8" w:rsidRDefault="000A21B8" w:rsidP="00E13A33">
      <w:r>
        <w:separator/>
      </w:r>
    </w:p>
  </w:footnote>
  <w:footnote w:type="continuationSeparator" w:id="0">
    <w:p w14:paraId="73DE554E" w14:textId="77777777" w:rsidR="000A21B8" w:rsidRDefault="000A21B8"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9A98" w14:textId="556FFCA3" w:rsidR="00E13A33" w:rsidRPr="00E01DD6" w:rsidRDefault="00253F79">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6FDFC3F3" w14:textId="45F13E2D" w:rsidR="00186880" w:rsidRDefault="00E13A33" w:rsidP="00147D27">
    <w:pPr>
      <w:pStyle w:val="a3"/>
      <w:jc w:val="center"/>
      <w:rPr>
        <w:b/>
        <w:bCs/>
        <w:szCs w:val="21"/>
      </w:rPr>
    </w:pPr>
    <w:r w:rsidRPr="00E01DD6">
      <w:rPr>
        <w:rFonts w:hint="eastAsia"/>
        <w:b/>
        <w:bCs/>
        <w:szCs w:val="21"/>
      </w:rPr>
      <w:t>『</w:t>
    </w:r>
    <w:r w:rsidR="00207B23">
      <w:rPr>
        <w:b/>
        <w:bCs/>
        <w:szCs w:val="21"/>
      </w:rPr>
      <w:t>VISTA</w:t>
    </w:r>
    <w:r w:rsidR="00A61478">
      <w:rPr>
        <w:b/>
        <w:bCs/>
        <w:szCs w:val="21"/>
      </w:rPr>
      <w:t xml:space="preserve"> </w:t>
    </w:r>
    <w:r w:rsidR="007D79AA">
      <w:rPr>
        <w:rFonts w:hint="eastAsia"/>
        <w:b/>
        <w:bCs/>
        <w:szCs w:val="21"/>
      </w:rPr>
      <w:t xml:space="preserve">English </w:t>
    </w:r>
    <w:r w:rsidR="00125FCB">
      <w:rPr>
        <w:rFonts w:hint="eastAsia"/>
        <w:b/>
        <w:bCs/>
        <w:szCs w:val="21"/>
      </w:rPr>
      <w:t>Com</w:t>
    </w:r>
    <w:r w:rsidR="00125FCB">
      <w:rPr>
        <w:b/>
        <w:bCs/>
        <w:szCs w:val="21"/>
      </w:rPr>
      <w:t>m</w:t>
    </w:r>
    <w:r w:rsidR="00125FCB">
      <w:rPr>
        <w:rFonts w:hint="eastAsia"/>
        <w:b/>
        <w:bCs/>
        <w:szCs w:val="21"/>
      </w:rPr>
      <w:t xml:space="preserve">unication </w:t>
    </w:r>
    <w:r w:rsidR="00171520">
      <w:rPr>
        <w:rFonts w:hint="eastAsia"/>
        <w:b/>
        <w:bCs/>
        <w:szCs w:val="21"/>
      </w:rPr>
      <w:t>Ⅱ</w:t>
    </w:r>
    <w:r w:rsidR="00186880">
      <w:rPr>
        <w:b/>
        <w:bCs/>
        <w:szCs w:val="21"/>
      </w:rPr>
      <w:t xml:space="preserve"> New Edition</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125FCB">
      <w:rPr>
        <w:b/>
        <w:bCs/>
        <w:szCs w:val="21"/>
      </w:rPr>
      <w:t>C</w:t>
    </w:r>
    <w:r w:rsidR="00171520">
      <w:rPr>
        <w:rFonts w:hint="eastAsia"/>
        <w:b/>
        <w:bCs/>
        <w:szCs w:val="21"/>
      </w:rPr>
      <w:t>Ⅱ</w:t>
    </w:r>
    <w:r w:rsidR="00147D27">
      <w:rPr>
        <w:b/>
        <w:bCs/>
        <w:szCs w:val="21"/>
      </w:rPr>
      <w:t xml:space="preserve"> </w:t>
    </w:r>
    <w:r w:rsidR="00186880">
      <w:rPr>
        <w:b/>
        <w:bCs/>
        <w:szCs w:val="21"/>
      </w:rPr>
      <w:t>015-903</w:t>
    </w:r>
    <w:r w:rsidRPr="00E01DD6">
      <w:rPr>
        <w:rFonts w:hint="eastAsia"/>
        <w:b/>
        <w:bCs/>
        <w:szCs w:val="21"/>
      </w:rPr>
      <w:t>）</w:t>
    </w:r>
  </w:p>
  <w:p w14:paraId="612D8ECA" w14:textId="4C60D601" w:rsidR="00E13A33" w:rsidRPr="00147D27" w:rsidRDefault="005F2815" w:rsidP="00147D27">
    <w:pPr>
      <w:pStyle w:val="a3"/>
      <w:jc w:val="center"/>
      <w:rPr>
        <w:b/>
        <w:bCs/>
        <w:szCs w:val="21"/>
      </w:rPr>
    </w:pPr>
    <w:r>
      <w:rPr>
        <w:rFonts w:hint="eastAsia"/>
        <w:b/>
        <w:bCs/>
        <w:szCs w:val="21"/>
      </w:rPr>
      <w:t xml:space="preserve">　</w:t>
    </w:r>
    <w:r w:rsidR="00E13A33" w:rsidRPr="00E01DD6">
      <w:rPr>
        <w:rFonts w:hint="eastAsia"/>
        <w:b/>
        <w:bCs/>
        <w:szCs w:val="21"/>
      </w:rPr>
      <w:t>検討の観点</w:t>
    </w:r>
    <w:r w:rsidR="001F1C2F"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9F"/>
    <w:rsid w:val="00020D41"/>
    <w:rsid w:val="000217D6"/>
    <w:rsid w:val="0008660A"/>
    <w:rsid w:val="000928D5"/>
    <w:rsid w:val="000A21B8"/>
    <w:rsid w:val="000B46A3"/>
    <w:rsid w:val="000B5171"/>
    <w:rsid w:val="000D014D"/>
    <w:rsid w:val="00120543"/>
    <w:rsid w:val="00125FCB"/>
    <w:rsid w:val="00147D27"/>
    <w:rsid w:val="00171520"/>
    <w:rsid w:val="00181C8E"/>
    <w:rsid w:val="00186880"/>
    <w:rsid w:val="001A6241"/>
    <w:rsid w:val="001A7908"/>
    <w:rsid w:val="001F1C2F"/>
    <w:rsid w:val="00207B23"/>
    <w:rsid w:val="00236CAA"/>
    <w:rsid w:val="00253F79"/>
    <w:rsid w:val="002945D8"/>
    <w:rsid w:val="002D0A46"/>
    <w:rsid w:val="002D780B"/>
    <w:rsid w:val="002E05CB"/>
    <w:rsid w:val="002F5F4F"/>
    <w:rsid w:val="002F7BE1"/>
    <w:rsid w:val="003046DD"/>
    <w:rsid w:val="00336E97"/>
    <w:rsid w:val="003C3B29"/>
    <w:rsid w:val="004448C7"/>
    <w:rsid w:val="00503550"/>
    <w:rsid w:val="0051061F"/>
    <w:rsid w:val="005111C5"/>
    <w:rsid w:val="00522058"/>
    <w:rsid w:val="005404F2"/>
    <w:rsid w:val="0059029F"/>
    <w:rsid w:val="005B07AB"/>
    <w:rsid w:val="005B459A"/>
    <w:rsid w:val="005D26A2"/>
    <w:rsid w:val="005F2815"/>
    <w:rsid w:val="005F2FB6"/>
    <w:rsid w:val="00636B3F"/>
    <w:rsid w:val="00656F97"/>
    <w:rsid w:val="006C456E"/>
    <w:rsid w:val="006D5A34"/>
    <w:rsid w:val="006E30B3"/>
    <w:rsid w:val="007635AF"/>
    <w:rsid w:val="007B2B26"/>
    <w:rsid w:val="007D79AA"/>
    <w:rsid w:val="007F376C"/>
    <w:rsid w:val="007F4CC9"/>
    <w:rsid w:val="00807B78"/>
    <w:rsid w:val="0081707D"/>
    <w:rsid w:val="00831842"/>
    <w:rsid w:val="00873017"/>
    <w:rsid w:val="0089575F"/>
    <w:rsid w:val="008B39DB"/>
    <w:rsid w:val="008E192E"/>
    <w:rsid w:val="008E5473"/>
    <w:rsid w:val="008E69D2"/>
    <w:rsid w:val="009572B6"/>
    <w:rsid w:val="0098620C"/>
    <w:rsid w:val="009A279B"/>
    <w:rsid w:val="009E7B05"/>
    <w:rsid w:val="009F2E15"/>
    <w:rsid w:val="009F653F"/>
    <w:rsid w:val="00A1793A"/>
    <w:rsid w:val="00A37835"/>
    <w:rsid w:val="00A61478"/>
    <w:rsid w:val="00A841E3"/>
    <w:rsid w:val="00AA5F76"/>
    <w:rsid w:val="00AE2686"/>
    <w:rsid w:val="00AE31DE"/>
    <w:rsid w:val="00B02FF9"/>
    <w:rsid w:val="00B711C3"/>
    <w:rsid w:val="00BA3AE2"/>
    <w:rsid w:val="00BA7525"/>
    <w:rsid w:val="00BD65EE"/>
    <w:rsid w:val="00C34C87"/>
    <w:rsid w:val="00C61359"/>
    <w:rsid w:val="00C7314D"/>
    <w:rsid w:val="00C97768"/>
    <w:rsid w:val="00CF6A21"/>
    <w:rsid w:val="00D351B4"/>
    <w:rsid w:val="00D74BD9"/>
    <w:rsid w:val="00DA198A"/>
    <w:rsid w:val="00DD090E"/>
    <w:rsid w:val="00DD2EA9"/>
    <w:rsid w:val="00E01DD6"/>
    <w:rsid w:val="00E13A33"/>
    <w:rsid w:val="00E33100"/>
    <w:rsid w:val="00E77788"/>
    <w:rsid w:val="00E85CF8"/>
    <w:rsid w:val="00EB1FB1"/>
    <w:rsid w:val="00F51394"/>
    <w:rsid w:val="00F86C7F"/>
    <w:rsid w:val="00FC05C3"/>
    <w:rsid w:val="00FC30EC"/>
    <w:rsid w:val="00FE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6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8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6F97"/>
    <w:rPr>
      <w:sz w:val="18"/>
      <w:szCs w:val="18"/>
    </w:rPr>
  </w:style>
  <w:style w:type="paragraph" w:styleId="ab">
    <w:name w:val="annotation text"/>
    <w:basedOn w:val="a"/>
    <w:link w:val="ac"/>
    <w:uiPriority w:val="99"/>
    <w:semiHidden/>
    <w:unhideWhenUsed/>
    <w:rsid w:val="00656F97"/>
    <w:pPr>
      <w:jc w:val="left"/>
    </w:pPr>
  </w:style>
  <w:style w:type="character" w:customStyle="1" w:styleId="ac">
    <w:name w:val="コメント文字列 (文字)"/>
    <w:basedOn w:val="a0"/>
    <w:link w:val="ab"/>
    <w:uiPriority w:val="99"/>
    <w:semiHidden/>
    <w:rsid w:val="00656F97"/>
    <w:rPr>
      <w:rFonts w:ascii="Century" w:eastAsia="ＭＳ 明朝" w:hAnsi="Century"/>
    </w:rPr>
  </w:style>
  <w:style w:type="paragraph" w:styleId="ad">
    <w:name w:val="annotation subject"/>
    <w:basedOn w:val="ab"/>
    <w:next w:val="ab"/>
    <w:link w:val="ae"/>
    <w:uiPriority w:val="99"/>
    <w:semiHidden/>
    <w:unhideWhenUsed/>
    <w:rsid w:val="00656F97"/>
    <w:rPr>
      <w:b/>
      <w:bCs/>
    </w:rPr>
  </w:style>
  <w:style w:type="character" w:customStyle="1" w:styleId="ae">
    <w:name w:val="コメント内容 (文字)"/>
    <w:basedOn w:val="ac"/>
    <w:link w:val="ad"/>
    <w:uiPriority w:val="99"/>
    <w:semiHidden/>
    <w:rsid w:val="00656F97"/>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 w:id="1920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悦裕</dc:creator>
  <cp:keywords/>
  <dc:description/>
  <cp:lastModifiedBy>三省堂　丸山真衣</cp:lastModifiedBy>
  <cp:revision>3</cp:revision>
  <cp:lastPrinted>2025-04-15T07:02:00Z</cp:lastPrinted>
  <dcterms:created xsi:type="dcterms:W3CDTF">2026-03-30T08:22:00Z</dcterms:created>
  <dcterms:modified xsi:type="dcterms:W3CDTF">2026-03-30T08:35:00Z</dcterms:modified>
</cp:coreProperties>
</file>