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A4171B">
        <w:trPr>
          <w:trHeight w:val="397"/>
          <w:tblHeader/>
        </w:trPr>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AD2EC2">
            <w:pPr>
              <w:topLinePunct/>
              <w:spacing w:line="320" w:lineRule="atLeas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AD2EC2">
            <w:pPr>
              <w:topLinePunct/>
              <w:spacing w:line="320" w:lineRule="atLeas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4A498F">
        <w:tc>
          <w:tcPr>
            <w:tcW w:w="1418" w:type="dxa"/>
            <w:tcBorders>
              <w:top w:val="single" w:sz="4" w:space="0" w:color="auto"/>
            </w:tcBorders>
            <w:tcMar>
              <w:top w:w="85" w:type="dxa"/>
              <w:bottom w:w="85" w:type="dxa"/>
            </w:tcMar>
          </w:tcPr>
          <w:p w14:paraId="0AA3CDC1" w14:textId="4D72C7B6" w:rsidR="00B711C3" w:rsidRPr="006C456E" w:rsidRDefault="002F5F4F" w:rsidP="00AD2EC2">
            <w:pPr>
              <w:topLinePunct/>
              <w:spacing w:line="32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Mar>
              <w:top w:w="85" w:type="dxa"/>
              <w:bottom w:w="85" w:type="dxa"/>
            </w:tcMar>
          </w:tcPr>
          <w:tbl>
            <w:tblPr>
              <w:tblStyle w:val="a7"/>
              <w:tblW w:w="7880" w:type="dxa"/>
              <w:tblInd w:w="57" w:type="dxa"/>
              <w:tblLook w:val="04A0" w:firstRow="1" w:lastRow="0" w:firstColumn="1" w:lastColumn="0" w:noHBand="0" w:noVBand="1"/>
            </w:tblPr>
            <w:tblGrid>
              <w:gridCol w:w="7880"/>
            </w:tblGrid>
            <w:tr w:rsidR="006C456E" w:rsidRPr="006C456E" w14:paraId="3ACB4F6C" w14:textId="77777777" w:rsidTr="00274956">
              <w:trPr>
                <w:trHeight w:val="2948"/>
              </w:trPr>
              <w:tc>
                <w:tcPr>
                  <w:tcW w:w="7880" w:type="dxa"/>
                </w:tcPr>
                <w:p w14:paraId="754AC771" w14:textId="7A9F6109" w:rsidR="006C456E" w:rsidRPr="00336E97" w:rsidRDefault="00CA48D6" w:rsidP="00AD2EC2">
                  <w:pPr>
                    <w:topLinePunct/>
                    <w:spacing w:line="320" w:lineRule="exact"/>
                    <w:rPr>
                      <w:rFonts w:ascii="ＭＳ ゴシック" w:eastAsia="ＭＳ ゴシック" w:hAnsi="ＭＳ ゴシック"/>
                      <w:b/>
                      <w:bCs/>
                      <w:sz w:val="18"/>
                      <w:szCs w:val="18"/>
                    </w:rPr>
                  </w:pPr>
                  <w:r w:rsidRPr="00CA48D6">
                    <w:rPr>
                      <w:rFonts w:ascii="ＭＳ ゴシック" w:eastAsia="ＭＳ ゴシック" w:hAnsi="ＭＳ ゴシック" w:hint="eastAsia"/>
                      <w:b/>
                      <w:bCs/>
                      <w:color w:val="0070C0"/>
                      <w:sz w:val="18"/>
                      <w:szCs w:val="18"/>
                    </w:rPr>
                    <w:t>授業を組み立てやすい、ジャンル別・文種別の単元構成</w:t>
                  </w:r>
                  <w:r w:rsidR="00722492">
                    <w:rPr>
                      <w:rFonts w:ascii="ＭＳ ゴシック" w:eastAsia="ＭＳ ゴシック" w:hAnsi="ＭＳ ゴシック" w:hint="eastAsia"/>
                      <w:b/>
                      <w:bCs/>
                      <w:color w:val="0070C0"/>
                      <w:sz w:val="18"/>
                      <w:szCs w:val="18"/>
                    </w:rPr>
                    <w:t>である。</w:t>
                  </w:r>
                </w:p>
                <w:p w14:paraId="6FF051E4" w14:textId="45B668B6" w:rsidR="00CA48D6" w:rsidRPr="00CA48D6" w:rsidRDefault="00CA48D6" w:rsidP="00AD2EC2">
                  <w:pPr>
                    <w:topLinePunct/>
                    <w:spacing w:line="320" w:lineRule="exac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教科書全体</w:t>
                  </w:r>
                  <w:r w:rsidR="00792944">
                    <w:rPr>
                      <w:rFonts w:ascii="ＭＳ ゴシック" w:eastAsia="ＭＳ ゴシック" w:hAnsi="ＭＳ ゴシック" w:hint="eastAsia"/>
                      <w:sz w:val="16"/>
                      <w:szCs w:val="16"/>
                    </w:rPr>
                    <w:t>は文章のジャンル別に</w:t>
                  </w:r>
                  <w:r w:rsidR="002671FC">
                    <w:rPr>
                      <w:rFonts w:ascii="ＭＳ ゴシック" w:eastAsia="ＭＳ ゴシック" w:hAnsi="ＭＳ ゴシック" w:hint="eastAsia"/>
                      <w:sz w:val="16"/>
                      <w:szCs w:val="16"/>
                    </w:rPr>
                    <w:t>1</w:t>
                  </w:r>
                  <w:r w:rsidR="002671FC">
                    <w:rPr>
                      <w:rFonts w:ascii="ＭＳ ゴシック" w:eastAsia="ＭＳ ゴシック" w:hAnsi="ＭＳ ゴシック"/>
                      <w:sz w:val="16"/>
                      <w:szCs w:val="16"/>
                    </w:rPr>
                    <w:t>6</w:t>
                  </w:r>
                  <w:r w:rsidR="000E4FC1">
                    <w:rPr>
                      <w:rFonts w:ascii="ＭＳ ゴシック" w:eastAsia="ＭＳ ゴシック" w:hAnsi="ＭＳ ゴシック" w:hint="eastAsia"/>
                      <w:sz w:val="16"/>
                      <w:szCs w:val="16"/>
                    </w:rPr>
                    <w:t>の単元で構成されている</w:t>
                  </w:r>
                  <w:r w:rsidRPr="00CA48D6">
                    <w:rPr>
                      <w:rFonts w:ascii="ＭＳ ゴシック" w:eastAsia="ＭＳ ゴシック" w:hAnsi="ＭＳ ゴシック" w:hint="eastAsia"/>
                      <w:sz w:val="16"/>
                      <w:szCs w:val="16"/>
                    </w:rPr>
                    <w:t>。</w:t>
                  </w:r>
                </w:p>
                <w:p w14:paraId="61226E40" w14:textId="082BA26C" w:rsidR="006C456E" w:rsidRPr="00FC05C3" w:rsidRDefault="000E4FC1" w:rsidP="00AD2EC2">
                  <w:pPr>
                    <w:topLinePunct/>
                    <w:spacing w:line="32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学習の流れを考慮し、</w:t>
                  </w:r>
                  <w:r w:rsidR="00CA48D6" w:rsidRPr="00CA48D6">
                    <w:rPr>
                      <w:rFonts w:ascii="ＭＳ ゴシック" w:eastAsia="ＭＳ ゴシック" w:hAnsi="ＭＳ ゴシック" w:hint="eastAsia"/>
                      <w:sz w:val="16"/>
                      <w:szCs w:val="16"/>
                    </w:rPr>
                    <w:t>授業やカリキュラムを組み立てやすくなってい</w:t>
                  </w:r>
                  <w:r w:rsidR="00CA48D6">
                    <w:rPr>
                      <w:rFonts w:ascii="ＭＳ ゴシック" w:eastAsia="ＭＳ ゴシック" w:hAnsi="ＭＳ ゴシック" w:hint="eastAsia"/>
                      <w:sz w:val="16"/>
                      <w:szCs w:val="16"/>
                    </w:rPr>
                    <w:t>る</w:t>
                  </w:r>
                  <w:r w:rsidR="00CA48D6" w:rsidRPr="00CA48D6">
                    <w:rPr>
                      <w:rFonts w:ascii="ＭＳ ゴシック" w:eastAsia="ＭＳ ゴシック" w:hAnsi="ＭＳ ゴシック" w:hint="eastAsia"/>
                      <w:sz w:val="16"/>
                      <w:szCs w:val="16"/>
                    </w:rPr>
                    <w:t>。</w:t>
                  </w:r>
                </w:p>
                <w:p w14:paraId="75467936" w14:textId="6EDDFC50" w:rsidR="00147D27" w:rsidRPr="00722492" w:rsidRDefault="000E4FC1" w:rsidP="00AD2EC2">
                  <w:pPr>
                    <w:topLinePunct/>
                    <w:spacing w:line="320" w:lineRule="exact"/>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感性豊かに人間の姿や心情を描いた、創造力を刺激する</w:t>
                  </w:r>
                  <w:r w:rsidR="00CA48D6" w:rsidRPr="00CA48D6">
                    <w:rPr>
                      <w:rFonts w:ascii="ＭＳ ゴシック" w:eastAsia="ＭＳ ゴシック" w:hAnsi="ＭＳ ゴシック" w:hint="eastAsia"/>
                      <w:b/>
                      <w:bCs/>
                      <w:color w:val="0070C0"/>
                      <w:sz w:val="18"/>
                      <w:szCs w:val="18"/>
                    </w:rPr>
                    <w:t>作品群</w:t>
                  </w:r>
                  <w:r w:rsidR="00722492">
                    <w:rPr>
                      <w:rFonts w:ascii="ＭＳ ゴシック" w:eastAsia="ＭＳ ゴシック" w:hAnsi="ＭＳ ゴシック" w:hint="eastAsia"/>
                      <w:b/>
                      <w:bCs/>
                      <w:color w:val="0070C0"/>
                      <w:sz w:val="18"/>
                      <w:szCs w:val="18"/>
                    </w:rPr>
                    <w:t>である。</w:t>
                  </w:r>
                </w:p>
                <w:p w14:paraId="39888049" w14:textId="65A161E6" w:rsidR="00CA48D6" w:rsidRPr="00274956" w:rsidRDefault="002D270C" w:rsidP="00AD2EC2">
                  <w:pPr>
                    <w:topLinePunct/>
                    <w:spacing w:line="320" w:lineRule="exact"/>
                    <w:ind w:leftChars="97" w:left="210" w:hangingChars="4" w:hanging="6"/>
                    <w:rPr>
                      <w:rFonts w:ascii="ＭＳ ゴシック" w:eastAsia="ＭＳ ゴシック" w:hAnsi="ＭＳ ゴシック"/>
                      <w:spacing w:val="-2"/>
                      <w:sz w:val="16"/>
                      <w:szCs w:val="16"/>
                    </w:rPr>
                  </w:pPr>
                  <w:r w:rsidRPr="00274956">
                    <w:rPr>
                      <w:rFonts w:ascii="ＭＳ ゴシック" w:eastAsia="ＭＳ ゴシック" w:hAnsi="ＭＳ ゴシック" w:hint="eastAsia"/>
                      <w:spacing w:val="-2"/>
                      <w:sz w:val="16"/>
                      <w:szCs w:val="16"/>
                    </w:rPr>
                    <w:t>日本を中心とした文学の諸相を幅広く取り上げ</w:t>
                  </w:r>
                  <w:r w:rsidR="000E4FC1" w:rsidRPr="00274956">
                    <w:rPr>
                      <w:rFonts w:ascii="ＭＳ ゴシック" w:eastAsia="ＭＳ ゴシック" w:hAnsi="ＭＳ ゴシック" w:hint="eastAsia"/>
                      <w:spacing w:val="-20"/>
                      <w:sz w:val="16"/>
                      <w:szCs w:val="16"/>
                    </w:rPr>
                    <w:t>、</w:t>
                  </w:r>
                  <w:r w:rsidR="000E4FC1" w:rsidRPr="00274956">
                    <w:rPr>
                      <w:rFonts w:ascii="ＭＳ ゴシック" w:eastAsia="ＭＳ ゴシック" w:hAnsi="ＭＳ ゴシック" w:hint="eastAsia"/>
                      <w:spacing w:val="-2"/>
                      <w:sz w:val="16"/>
                      <w:szCs w:val="16"/>
                    </w:rPr>
                    <w:t>さまざまな角度から文学の諸側面にふれることができる</w:t>
                  </w:r>
                  <w:r w:rsidR="00CA48D6" w:rsidRPr="00274956">
                    <w:rPr>
                      <w:rFonts w:ascii="ＭＳ ゴシック" w:eastAsia="ＭＳ ゴシック" w:hAnsi="ＭＳ ゴシック" w:hint="eastAsia"/>
                      <w:spacing w:val="-20"/>
                      <w:sz w:val="16"/>
                      <w:szCs w:val="16"/>
                    </w:rPr>
                    <w:t>。</w:t>
                  </w:r>
                </w:p>
                <w:p w14:paraId="059EBEF9" w14:textId="01E6E904" w:rsidR="00FC05C3" w:rsidRPr="00147D27" w:rsidRDefault="00792944" w:rsidP="00AD2EC2">
                  <w:pPr>
                    <w:topLinePunct/>
                    <w:spacing w:line="32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小説・詩歌だけでなく、</w:t>
                  </w:r>
                  <w:r w:rsidR="000E4FC1">
                    <w:rPr>
                      <w:rFonts w:ascii="ＭＳ ゴシック" w:eastAsia="ＭＳ ゴシック" w:hAnsi="ＭＳ ゴシック" w:hint="eastAsia"/>
                      <w:sz w:val="16"/>
                      <w:szCs w:val="16"/>
                    </w:rPr>
                    <w:t>映像や翻訳、</w:t>
                  </w:r>
                  <w:r w:rsidR="002671FC">
                    <w:rPr>
                      <w:rFonts w:ascii="ＭＳ ゴシック" w:eastAsia="ＭＳ ゴシック" w:hAnsi="ＭＳ ゴシック" w:hint="eastAsia"/>
                      <w:sz w:val="16"/>
                      <w:szCs w:val="16"/>
                    </w:rPr>
                    <w:t>戯曲</w:t>
                  </w:r>
                  <w:r w:rsidR="00891ABD">
                    <w:rPr>
                      <w:rFonts w:ascii="ＭＳ ゴシック" w:eastAsia="ＭＳ ゴシック" w:hAnsi="ＭＳ ゴシック" w:hint="eastAsia"/>
                      <w:sz w:val="16"/>
                      <w:szCs w:val="16"/>
                    </w:rPr>
                    <w:t>など</w:t>
                  </w:r>
                  <w:r>
                    <w:rPr>
                      <w:rFonts w:ascii="ＭＳ ゴシック" w:eastAsia="ＭＳ ゴシック" w:hAnsi="ＭＳ ゴシック" w:hint="eastAsia"/>
                      <w:sz w:val="16"/>
                      <w:szCs w:val="16"/>
                    </w:rPr>
                    <w:t>の文学の広がり</w:t>
                  </w:r>
                  <w:r w:rsidR="000E4FC1">
                    <w:rPr>
                      <w:rFonts w:ascii="ＭＳ ゴシック" w:eastAsia="ＭＳ ゴシック" w:hAnsi="ＭＳ ゴシック" w:hint="eastAsia"/>
                      <w:sz w:val="16"/>
                      <w:szCs w:val="16"/>
                    </w:rPr>
                    <w:t>にも</w:t>
                  </w:r>
                  <w:r w:rsidR="002671FC">
                    <w:rPr>
                      <w:rFonts w:ascii="ＭＳ ゴシック" w:eastAsia="ＭＳ ゴシック" w:hAnsi="ＭＳ ゴシック" w:hint="eastAsia"/>
                      <w:sz w:val="16"/>
                      <w:szCs w:val="16"/>
                    </w:rPr>
                    <w:t>ふ</w:t>
                  </w:r>
                  <w:r w:rsidR="000E4FC1">
                    <w:rPr>
                      <w:rFonts w:ascii="ＭＳ ゴシック" w:eastAsia="ＭＳ ゴシック" w:hAnsi="ＭＳ ゴシック" w:hint="eastAsia"/>
                      <w:sz w:val="16"/>
                      <w:szCs w:val="16"/>
                    </w:rPr>
                    <w:t>れられるよう配慮されている</w:t>
                  </w:r>
                  <w:r w:rsidR="00CA48D6" w:rsidRPr="00CA48D6">
                    <w:rPr>
                      <w:rFonts w:ascii="ＭＳ ゴシック" w:eastAsia="ＭＳ ゴシック" w:hAnsi="ＭＳ ゴシック" w:hint="eastAsia"/>
                      <w:sz w:val="16"/>
                      <w:szCs w:val="16"/>
                    </w:rPr>
                    <w:t>。</w:t>
                  </w:r>
                </w:p>
                <w:p w14:paraId="746A5A6E" w14:textId="1312A740" w:rsidR="00147D27" w:rsidRPr="00722492" w:rsidRDefault="000F1EAF" w:rsidP="00AD2EC2">
                  <w:pPr>
                    <w:topLinePunct/>
                    <w:spacing w:line="320" w:lineRule="exact"/>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豊富なコラ</w:t>
                  </w:r>
                  <w:bookmarkStart w:id="0" w:name="_GoBack"/>
                  <w:bookmarkEnd w:id="0"/>
                  <w:r>
                    <w:rPr>
                      <w:rFonts w:ascii="ＭＳ ゴシック" w:eastAsia="ＭＳ ゴシック" w:hAnsi="ＭＳ ゴシック" w:hint="eastAsia"/>
                      <w:b/>
                      <w:bCs/>
                      <w:color w:val="0070C0"/>
                      <w:sz w:val="18"/>
                      <w:szCs w:val="18"/>
                    </w:rPr>
                    <w:t>ムや図版とシンプルな</w:t>
                  </w:r>
                  <w:r w:rsidRPr="00CA48D6">
                    <w:rPr>
                      <w:rFonts w:ascii="ＭＳ ゴシック" w:eastAsia="ＭＳ ゴシック" w:hAnsi="ＭＳ ゴシック" w:hint="eastAsia"/>
                      <w:b/>
                      <w:bCs/>
                      <w:color w:val="0070C0"/>
                      <w:sz w:val="18"/>
                      <w:szCs w:val="18"/>
                    </w:rPr>
                    <w:t>構成</w:t>
                  </w:r>
                  <w:r>
                    <w:rPr>
                      <w:rFonts w:ascii="ＭＳ ゴシック" w:eastAsia="ＭＳ ゴシック" w:hAnsi="ＭＳ ゴシック" w:hint="eastAsia"/>
                      <w:b/>
                      <w:bCs/>
                      <w:color w:val="0070C0"/>
                      <w:sz w:val="18"/>
                      <w:szCs w:val="18"/>
                    </w:rPr>
                    <w:t>が</w:t>
                  </w:r>
                  <w:r w:rsidRPr="00CA48D6">
                    <w:rPr>
                      <w:rFonts w:ascii="ＭＳ ゴシック" w:eastAsia="ＭＳ ゴシック" w:hAnsi="ＭＳ ゴシック" w:hint="eastAsia"/>
                      <w:b/>
                      <w:bCs/>
                      <w:color w:val="0070C0"/>
                      <w:sz w:val="18"/>
                      <w:szCs w:val="18"/>
                    </w:rPr>
                    <w:t>両立</w:t>
                  </w:r>
                  <w:r>
                    <w:rPr>
                      <w:rFonts w:ascii="ＭＳ ゴシック" w:eastAsia="ＭＳ ゴシック" w:hAnsi="ＭＳ ゴシック" w:hint="eastAsia"/>
                      <w:b/>
                      <w:bCs/>
                      <w:color w:val="0070C0"/>
                      <w:sz w:val="18"/>
                      <w:szCs w:val="18"/>
                    </w:rPr>
                    <w:t>している紙面である。</w:t>
                  </w:r>
                </w:p>
                <w:p w14:paraId="534DF436" w14:textId="698ED89D" w:rsidR="00CA48D6" w:rsidRPr="00CA48D6" w:rsidRDefault="00CA48D6" w:rsidP="00AD2EC2">
                  <w:pPr>
                    <w:topLinePunct/>
                    <w:spacing w:line="320" w:lineRule="exac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本教材の紙面は、文章読解・活動に集中できるようシンプルなレイアウトに統一して</w:t>
                  </w:r>
                  <w:r>
                    <w:rPr>
                      <w:rFonts w:ascii="ＭＳ ゴシック" w:eastAsia="ＭＳ ゴシック" w:hAnsi="ＭＳ ゴシック" w:hint="eastAsia"/>
                      <w:sz w:val="16"/>
                      <w:szCs w:val="16"/>
                    </w:rPr>
                    <w:t>いる</w:t>
                  </w:r>
                  <w:r w:rsidRPr="00CA48D6">
                    <w:rPr>
                      <w:rFonts w:ascii="ＭＳ ゴシック" w:eastAsia="ＭＳ ゴシック" w:hAnsi="ＭＳ ゴシック" w:hint="eastAsia"/>
                      <w:sz w:val="16"/>
                      <w:szCs w:val="16"/>
                    </w:rPr>
                    <w:t>。</w:t>
                  </w:r>
                </w:p>
                <w:p w14:paraId="6F4EBD91" w14:textId="36280823" w:rsidR="006C456E" w:rsidRPr="00147D27" w:rsidRDefault="00CA48D6" w:rsidP="00AD2EC2">
                  <w:pPr>
                    <w:topLinePunct/>
                    <w:spacing w:line="320" w:lineRule="exac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同時に、関連資料のコラムを豊富に掲載しており、</w:t>
                  </w:r>
                  <w:r w:rsidR="002671FC">
                    <w:rPr>
                      <w:rFonts w:ascii="ＭＳ ゴシック" w:eastAsia="ＭＳ ゴシック" w:hAnsi="ＭＳ ゴシック" w:hint="eastAsia"/>
                      <w:sz w:val="16"/>
                      <w:szCs w:val="16"/>
                    </w:rPr>
                    <w:t>さまざま</w:t>
                  </w:r>
                  <w:r w:rsidRPr="00CA48D6">
                    <w:rPr>
                      <w:rFonts w:ascii="ＭＳ ゴシック" w:eastAsia="ＭＳ ゴシック" w:hAnsi="ＭＳ ゴシック" w:hint="eastAsia"/>
                      <w:sz w:val="16"/>
                      <w:szCs w:val="16"/>
                    </w:rPr>
                    <w:t>な場面で活用で</w:t>
                  </w:r>
                  <w:r>
                    <w:rPr>
                      <w:rFonts w:ascii="ＭＳ ゴシック" w:eastAsia="ＭＳ ゴシック" w:hAnsi="ＭＳ ゴシック" w:hint="eastAsia"/>
                      <w:sz w:val="16"/>
                      <w:szCs w:val="16"/>
                    </w:rPr>
                    <w:t>きる</w:t>
                  </w:r>
                  <w:r w:rsidRPr="00CA48D6">
                    <w:rPr>
                      <w:rFonts w:ascii="ＭＳ ゴシック" w:eastAsia="ＭＳ ゴシック" w:hAnsi="ＭＳ ゴシック" w:hint="eastAsia"/>
                      <w:sz w:val="16"/>
                      <w:szCs w:val="16"/>
                    </w:rPr>
                    <w:t>。</w:t>
                  </w:r>
                </w:p>
              </w:tc>
            </w:tr>
          </w:tbl>
          <w:p w14:paraId="33102D33" w14:textId="77777777" w:rsidR="002A1DBF" w:rsidRDefault="002A1DBF" w:rsidP="006B7387">
            <w:pPr>
              <w:topLinePunct/>
              <w:spacing w:line="160" w:lineRule="exact"/>
              <w:rPr>
                <w:rFonts w:ascii="ＭＳ ゴシック" w:eastAsia="ＭＳ ゴシック" w:hAnsi="ＭＳ ゴシック"/>
                <w:sz w:val="18"/>
                <w:szCs w:val="18"/>
              </w:rPr>
            </w:pPr>
          </w:p>
          <w:p w14:paraId="38B43EB8" w14:textId="4F1D5344" w:rsidR="00CD4B8A" w:rsidRDefault="00A8575F" w:rsidP="00AD2EC2">
            <w:pPr>
              <w:topLinePunct/>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～教材選定と内容について～</w:t>
            </w:r>
          </w:p>
          <w:p w14:paraId="2E9FC2C1" w14:textId="77777777" w:rsidR="00F256BE" w:rsidRDefault="00A8575F" w:rsidP="00AD2EC2">
            <w:pPr>
              <w:topLinePunct/>
              <w:spacing w:line="320" w:lineRule="exac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❶</w:t>
            </w:r>
            <w:r w:rsidRPr="00A8575F">
              <w:rPr>
                <w:rFonts w:ascii="ＭＳ ゴシック" w:eastAsia="ＭＳ ゴシック" w:hAnsi="ＭＳ ゴシック" w:hint="eastAsia"/>
                <w:b/>
                <w:bCs/>
                <w:sz w:val="18"/>
                <w:szCs w:val="18"/>
              </w:rPr>
              <w:t>日常生活における言語活動の活発化を目指し</w:t>
            </w:r>
            <w:r w:rsidR="000E4FC1">
              <w:rPr>
                <w:rFonts w:ascii="ＭＳ ゴシック" w:eastAsia="ＭＳ ゴシック" w:hAnsi="ＭＳ ゴシック" w:hint="eastAsia"/>
                <w:b/>
                <w:bCs/>
                <w:sz w:val="18"/>
                <w:szCs w:val="18"/>
              </w:rPr>
              <w:t>、</w:t>
            </w:r>
            <w:r w:rsidRPr="00A8575F">
              <w:rPr>
                <w:rFonts w:ascii="ＭＳ ゴシック" w:eastAsia="ＭＳ ゴシック" w:hAnsi="ＭＳ ゴシック" w:hint="eastAsia"/>
                <w:b/>
                <w:bCs/>
                <w:sz w:val="18"/>
                <w:szCs w:val="18"/>
              </w:rPr>
              <w:t>基礎</w:t>
            </w:r>
            <w:r w:rsidR="000E4FC1">
              <w:rPr>
                <w:rFonts w:ascii="ＭＳ ゴシック" w:eastAsia="ＭＳ ゴシック" w:hAnsi="ＭＳ ゴシック" w:hint="eastAsia"/>
                <w:b/>
                <w:bCs/>
                <w:sz w:val="18"/>
                <w:szCs w:val="18"/>
              </w:rPr>
              <w:t>、</w:t>
            </w:r>
            <w:r w:rsidRPr="00A8575F">
              <w:rPr>
                <w:rFonts w:ascii="ＭＳ ゴシック" w:eastAsia="ＭＳ ゴシック" w:hAnsi="ＭＳ ゴシック" w:hint="eastAsia"/>
                <w:b/>
                <w:bCs/>
                <w:sz w:val="18"/>
                <w:szCs w:val="18"/>
              </w:rPr>
              <w:t>基本の充実を目指した教材である。</w:t>
            </w:r>
          </w:p>
          <w:p w14:paraId="7893DE31" w14:textId="71DAB8FD" w:rsidR="00A8575F" w:rsidRDefault="00A8575F" w:rsidP="00AD2EC2">
            <w:pPr>
              <w:topLinePunct/>
              <w:spacing w:line="320" w:lineRule="exac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教材の選定</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教材化に</w:t>
            </w:r>
            <w:r w:rsidR="002671FC">
              <w:rPr>
                <w:rFonts w:ascii="ＭＳ ゴシック" w:eastAsia="ＭＳ ゴシック" w:hAnsi="ＭＳ ゴシック" w:hint="eastAsia"/>
                <w:sz w:val="18"/>
                <w:szCs w:val="18"/>
              </w:rPr>
              <w:t>あ</w:t>
            </w:r>
            <w:r w:rsidRPr="00A8575F">
              <w:rPr>
                <w:rFonts w:ascii="ＭＳ ゴシック" w:eastAsia="ＭＳ ゴシック" w:hAnsi="ＭＳ ゴシック" w:hint="eastAsia"/>
                <w:sz w:val="18"/>
                <w:szCs w:val="18"/>
              </w:rPr>
              <w:t>たっては</w:t>
            </w:r>
            <w:r w:rsidR="000E4FC1">
              <w:rPr>
                <w:rFonts w:ascii="ＭＳ ゴシック" w:eastAsia="ＭＳ ゴシック" w:hAnsi="ＭＳ ゴシック" w:hint="eastAsia"/>
                <w:sz w:val="18"/>
                <w:szCs w:val="18"/>
              </w:rPr>
              <w:t>、</w:t>
            </w:r>
            <w:r w:rsidR="00F256BE" w:rsidRPr="00F256BE">
              <w:rPr>
                <w:rFonts w:ascii="ＭＳ ゴシック" w:eastAsia="ＭＳ ゴシック" w:hAnsi="ＭＳ ゴシック" w:hint="eastAsia"/>
                <w:sz w:val="18"/>
                <w:szCs w:val="18"/>
              </w:rPr>
              <w:t>高等学校の必履修科目である「現代の国語」「言語文化」</w:t>
            </w:r>
            <w:r w:rsidR="00F256BE">
              <w:rPr>
                <w:rFonts w:ascii="ＭＳ ゴシック" w:eastAsia="ＭＳ ゴシック" w:hAnsi="ＭＳ ゴシック" w:hint="eastAsia"/>
                <w:sz w:val="18"/>
                <w:szCs w:val="18"/>
              </w:rPr>
              <w:t>における</w:t>
            </w:r>
            <w:r w:rsidRPr="00A8575F">
              <w:rPr>
                <w:rFonts w:ascii="ＭＳ ゴシック" w:eastAsia="ＭＳ ゴシック" w:hAnsi="ＭＳ ゴシック" w:hint="eastAsia"/>
                <w:sz w:val="18"/>
                <w:szCs w:val="18"/>
              </w:rPr>
              <w:t>学習の成果をふまえて</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高校生として望ましい国語の力を身につけ</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日常生活における言語活動を活発化できるよう</w:t>
            </w:r>
            <w:r w:rsidR="002671FC">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発達段階にふさわしいもの</w:t>
            </w:r>
            <w:r>
              <w:rPr>
                <w:rFonts w:ascii="ＭＳ ゴシック" w:eastAsia="ＭＳ ゴシック" w:hAnsi="ＭＳ ゴシック" w:hint="eastAsia"/>
                <w:sz w:val="18"/>
                <w:szCs w:val="18"/>
              </w:rPr>
              <w:t>が選ばれている</w:t>
            </w:r>
            <w:r w:rsidRPr="00A8575F">
              <w:rPr>
                <w:rFonts w:ascii="ＭＳ ゴシック" w:eastAsia="ＭＳ ゴシック" w:hAnsi="ＭＳ ゴシック" w:hint="eastAsia"/>
                <w:sz w:val="18"/>
                <w:szCs w:val="18"/>
              </w:rPr>
              <w:t>。また</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生徒たちが自らの思考力</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判断力</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表現力を高め</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さまざまな角度から問題を取り上げ</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人生</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社会</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言語</w:t>
            </w:r>
            <w:r w:rsidR="002671FC">
              <w:rPr>
                <w:rFonts w:ascii="ＭＳ ゴシック" w:eastAsia="ＭＳ ゴシック" w:hAnsi="ＭＳ ゴシック" w:hint="eastAsia"/>
                <w:sz w:val="18"/>
                <w:szCs w:val="18"/>
              </w:rPr>
              <w:t>など</w:t>
            </w:r>
            <w:r w:rsidRPr="00A8575F">
              <w:rPr>
                <w:rFonts w:ascii="ＭＳ ゴシック" w:eastAsia="ＭＳ ゴシック" w:hAnsi="ＭＳ ゴシック" w:hint="eastAsia"/>
                <w:sz w:val="18"/>
                <w:szCs w:val="18"/>
              </w:rPr>
              <w:t>について思いを深めることができる教材</w:t>
            </w:r>
            <w:r>
              <w:rPr>
                <w:rFonts w:ascii="ＭＳ ゴシック" w:eastAsia="ＭＳ ゴシック" w:hAnsi="ＭＳ ゴシック" w:hint="eastAsia"/>
                <w:sz w:val="18"/>
                <w:szCs w:val="18"/>
              </w:rPr>
              <w:t>が</w:t>
            </w:r>
            <w:r w:rsidRPr="00A8575F">
              <w:rPr>
                <w:rFonts w:ascii="ＭＳ ゴシック" w:eastAsia="ＭＳ ゴシック" w:hAnsi="ＭＳ ゴシック" w:hint="eastAsia"/>
                <w:sz w:val="18"/>
                <w:szCs w:val="18"/>
              </w:rPr>
              <w:t>精選</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p w14:paraId="0F693549" w14:textId="351F16B0" w:rsidR="00A8575F" w:rsidRDefault="00A8575F" w:rsidP="00AD2EC2">
            <w:pPr>
              <w:topLinePunct/>
              <w:spacing w:line="320" w:lineRule="exac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❷</w:t>
            </w:r>
            <w:r w:rsidRPr="00A8575F">
              <w:rPr>
                <w:rFonts w:ascii="ＭＳ ゴシック" w:eastAsia="ＭＳ ゴシック" w:hAnsi="ＭＳ ゴシック" w:hint="eastAsia"/>
                <w:b/>
                <w:bCs/>
                <w:sz w:val="18"/>
                <w:szCs w:val="18"/>
              </w:rPr>
              <w:t>感性豊かに人間の姿や心情を描いた</w:t>
            </w:r>
            <w:r w:rsidR="000E4FC1">
              <w:rPr>
                <w:rFonts w:ascii="ＭＳ ゴシック" w:eastAsia="ＭＳ ゴシック" w:hAnsi="ＭＳ ゴシック" w:hint="eastAsia"/>
                <w:b/>
                <w:bCs/>
                <w:sz w:val="18"/>
                <w:szCs w:val="18"/>
              </w:rPr>
              <w:t>、</w:t>
            </w:r>
            <w:r w:rsidRPr="00A8575F">
              <w:rPr>
                <w:rFonts w:ascii="ＭＳ ゴシック" w:eastAsia="ＭＳ ゴシック" w:hAnsi="ＭＳ ゴシック" w:hint="eastAsia"/>
                <w:b/>
                <w:bCs/>
                <w:sz w:val="18"/>
                <w:szCs w:val="18"/>
              </w:rPr>
              <w:t>想像力を刺激する魅力あふれる教材である。</w:t>
            </w:r>
          </w:p>
          <w:p w14:paraId="5CEEFACA" w14:textId="13D6A32E" w:rsidR="00F256BE" w:rsidRDefault="00F256BE" w:rsidP="00AD2EC2">
            <w:pPr>
              <w:topLinePunct/>
              <w:spacing w:line="32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人間の普遍的な生き方や心情を情緒豊かに表現した作品が</w:t>
            </w:r>
            <w:r w:rsidR="00A8575F" w:rsidRPr="00A8575F">
              <w:rPr>
                <w:rFonts w:ascii="ＭＳ ゴシック" w:eastAsia="ＭＳ ゴシック" w:hAnsi="ＭＳ ゴシック" w:hint="eastAsia"/>
                <w:sz w:val="18"/>
                <w:szCs w:val="18"/>
              </w:rPr>
              <w:t>教材化</w:t>
            </w:r>
            <w:r>
              <w:rPr>
                <w:rFonts w:ascii="ＭＳ ゴシック" w:eastAsia="ＭＳ ゴシック" w:hAnsi="ＭＳ ゴシック" w:hint="eastAsia"/>
                <w:sz w:val="18"/>
                <w:szCs w:val="18"/>
              </w:rPr>
              <w:t>されており</w:t>
            </w:r>
            <w:r w:rsidR="000E4FC1">
              <w:rPr>
                <w:rFonts w:ascii="ＭＳ ゴシック" w:eastAsia="ＭＳ ゴシック" w:hAnsi="ＭＳ ゴシック" w:hint="eastAsia"/>
                <w:sz w:val="18"/>
                <w:szCs w:val="18"/>
              </w:rPr>
              <w:t>、</w:t>
            </w:r>
            <w:r w:rsidR="00A8575F" w:rsidRPr="00A8575F">
              <w:rPr>
                <w:rFonts w:ascii="ＭＳ ゴシック" w:eastAsia="ＭＳ ゴシック" w:hAnsi="ＭＳ ゴシック" w:hint="eastAsia"/>
                <w:sz w:val="18"/>
                <w:szCs w:val="18"/>
              </w:rPr>
              <w:t>日本の言語文化の諸相を幅広く取り上げ</w:t>
            </w:r>
            <w:r w:rsidR="000E4FC1">
              <w:rPr>
                <w:rFonts w:ascii="ＭＳ ゴシック" w:eastAsia="ＭＳ ゴシック" w:hAnsi="ＭＳ ゴシック" w:hint="eastAsia"/>
                <w:sz w:val="18"/>
                <w:szCs w:val="18"/>
              </w:rPr>
              <w:t>、</w:t>
            </w:r>
            <w:r w:rsidR="002671FC">
              <w:rPr>
                <w:rFonts w:ascii="ＭＳ ゴシック" w:eastAsia="ＭＳ ゴシック" w:hAnsi="ＭＳ ゴシック" w:hint="eastAsia"/>
                <w:sz w:val="18"/>
                <w:szCs w:val="18"/>
              </w:rPr>
              <w:t>多様な</w:t>
            </w:r>
            <w:r w:rsidR="00A8575F" w:rsidRPr="00A8575F">
              <w:rPr>
                <w:rFonts w:ascii="ＭＳ ゴシック" w:eastAsia="ＭＳ ゴシック" w:hAnsi="ＭＳ ゴシック" w:hint="eastAsia"/>
                <w:sz w:val="18"/>
                <w:szCs w:val="18"/>
              </w:rPr>
              <w:t>言語文化の諸側面</w:t>
            </w:r>
            <w:r w:rsidR="002671FC">
              <w:rPr>
                <w:rFonts w:ascii="ＭＳ ゴシック" w:eastAsia="ＭＳ ゴシック" w:hAnsi="ＭＳ ゴシック" w:hint="eastAsia"/>
                <w:sz w:val="18"/>
                <w:szCs w:val="18"/>
              </w:rPr>
              <w:t>や</w:t>
            </w:r>
            <w:r w:rsidR="00A8575F" w:rsidRPr="00A8575F">
              <w:rPr>
                <w:rFonts w:ascii="ＭＳ ゴシック" w:eastAsia="ＭＳ ゴシック" w:hAnsi="ＭＳ ゴシック" w:hint="eastAsia"/>
                <w:sz w:val="18"/>
                <w:szCs w:val="18"/>
              </w:rPr>
              <w:t>日本の伝統文化にふれることができるよう配慮</w:t>
            </w:r>
            <w:r w:rsidR="00A8575F">
              <w:rPr>
                <w:rFonts w:ascii="ＭＳ ゴシック" w:eastAsia="ＭＳ ゴシック" w:hAnsi="ＭＳ ゴシック" w:hint="eastAsia"/>
                <w:sz w:val="18"/>
                <w:szCs w:val="18"/>
              </w:rPr>
              <w:t>されている</w:t>
            </w:r>
            <w:r w:rsidR="00A8575F" w:rsidRPr="00A8575F">
              <w:rPr>
                <w:rFonts w:ascii="ＭＳ ゴシック" w:eastAsia="ＭＳ ゴシック" w:hAnsi="ＭＳ ゴシック" w:hint="eastAsia"/>
                <w:sz w:val="18"/>
                <w:szCs w:val="18"/>
              </w:rPr>
              <w:t>。</w:t>
            </w:r>
          </w:p>
          <w:p w14:paraId="0BB19120" w14:textId="38B2D405" w:rsidR="00A8575F" w:rsidRDefault="00A8575F" w:rsidP="00AD2EC2">
            <w:pPr>
              <w:topLinePunct/>
              <w:spacing w:line="320" w:lineRule="exac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❸</w:t>
            </w:r>
            <w:r w:rsidRPr="00A8575F">
              <w:rPr>
                <w:rFonts w:ascii="ＭＳ ゴシック" w:eastAsia="ＭＳ ゴシック" w:hAnsi="ＭＳ ゴシック" w:hint="eastAsia"/>
                <w:b/>
                <w:bCs/>
                <w:sz w:val="18"/>
                <w:szCs w:val="18"/>
              </w:rPr>
              <w:t>読書に親しみ</w:t>
            </w:r>
            <w:r w:rsidR="000E4FC1">
              <w:rPr>
                <w:rFonts w:ascii="ＭＳ ゴシック" w:eastAsia="ＭＳ ゴシック" w:hAnsi="ＭＳ ゴシック" w:hint="eastAsia"/>
                <w:b/>
                <w:bCs/>
                <w:sz w:val="18"/>
                <w:szCs w:val="18"/>
              </w:rPr>
              <w:t>、</w:t>
            </w:r>
            <w:r w:rsidRPr="00A8575F">
              <w:rPr>
                <w:rFonts w:ascii="ＭＳ ゴシック" w:eastAsia="ＭＳ ゴシック" w:hAnsi="ＭＳ ゴシック" w:hint="eastAsia"/>
                <w:b/>
                <w:bCs/>
                <w:sz w:val="18"/>
                <w:szCs w:val="18"/>
              </w:rPr>
              <w:t>知識と教養を身につけることのできる教材である。</w:t>
            </w:r>
          </w:p>
          <w:p w14:paraId="4F4858CC" w14:textId="21618EA5" w:rsidR="00A8575F" w:rsidRDefault="00A8575F" w:rsidP="00AD2EC2">
            <w:pPr>
              <w:topLinePunct/>
              <w:spacing w:line="320" w:lineRule="exac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幅広い知識と教養を身につけ</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真理を求める態度を養うため</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読書に親しみ</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その意義と効用を考える契機となるような作品</w:t>
            </w:r>
            <w:r>
              <w:rPr>
                <w:rFonts w:ascii="ＭＳ ゴシック" w:eastAsia="ＭＳ ゴシック" w:hAnsi="ＭＳ ゴシック" w:hint="eastAsia"/>
                <w:sz w:val="18"/>
                <w:szCs w:val="18"/>
              </w:rPr>
              <w:t>が選ばれ</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教材化</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p w14:paraId="17FC1789" w14:textId="76E7CEE0" w:rsidR="00A8575F" w:rsidRDefault="00A8575F" w:rsidP="00AD2EC2">
            <w:pPr>
              <w:topLinePunct/>
              <w:spacing w:line="320" w:lineRule="exac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❹</w:t>
            </w:r>
            <w:r w:rsidRPr="00A8575F">
              <w:rPr>
                <w:rFonts w:ascii="ＭＳ ゴシック" w:eastAsia="ＭＳ ゴシック" w:hAnsi="ＭＳ ゴシック" w:hint="eastAsia"/>
                <w:b/>
                <w:bCs/>
                <w:sz w:val="18"/>
                <w:szCs w:val="18"/>
              </w:rPr>
              <w:t>バランスよく配置された</w:t>
            </w:r>
            <w:r w:rsidR="000E4FC1">
              <w:rPr>
                <w:rFonts w:ascii="ＭＳ ゴシック" w:eastAsia="ＭＳ ゴシック" w:hAnsi="ＭＳ ゴシック" w:hint="eastAsia"/>
                <w:b/>
                <w:bCs/>
                <w:sz w:val="18"/>
                <w:szCs w:val="18"/>
              </w:rPr>
              <w:t>、</w:t>
            </w:r>
            <w:r w:rsidRPr="00A8575F">
              <w:rPr>
                <w:rFonts w:ascii="ＭＳ ゴシック" w:eastAsia="ＭＳ ゴシック" w:hAnsi="ＭＳ ゴシック" w:hint="eastAsia"/>
                <w:b/>
                <w:bCs/>
                <w:sz w:val="18"/>
                <w:szCs w:val="18"/>
              </w:rPr>
              <w:t>定評ある教材と現代的話題の教材である。</w:t>
            </w:r>
          </w:p>
          <w:p w14:paraId="49191CB6" w14:textId="676E3402" w:rsidR="00F256BE" w:rsidRPr="006C456E" w:rsidRDefault="00A8575F" w:rsidP="00AD2EC2">
            <w:pPr>
              <w:topLinePunct/>
              <w:spacing w:line="320" w:lineRule="exac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従来から教材化されて定評のある作品を機軸としつつ</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現代的な話題や視点について考えることのできる作品や文章</w:t>
            </w:r>
            <w:r w:rsidR="002671FC">
              <w:rPr>
                <w:rFonts w:ascii="ＭＳ ゴシック" w:eastAsia="ＭＳ ゴシック" w:hAnsi="ＭＳ ゴシック" w:hint="eastAsia"/>
                <w:sz w:val="18"/>
                <w:szCs w:val="18"/>
              </w:rPr>
              <w:t>が</w:t>
            </w:r>
            <w:r w:rsidRPr="00A8575F">
              <w:rPr>
                <w:rFonts w:ascii="ＭＳ ゴシック" w:eastAsia="ＭＳ ゴシック" w:hAnsi="ＭＳ ゴシック" w:hint="eastAsia"/>
                <w:sz w:val="18"/>
                <w:szCs w:val="18"/>
              </w:rPr>
              <w:t>教材化</w:t>
            </w:r>
            <w:r>
              <w:rPr>
                <w:rFonts w:ascii="ＭＳ ゴシック" w:eastAsia="ＭＳ ゴシック" w:hAnsi="ＭＳ ゴシック" w:hint="eastAsia"/>
                <w:sz w:val="18"/>
                <w:szCs w:val="18"/>
              </w:rPr>
              <w:t>されており</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生徒の興味を喚起できるように配置</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。また</w:t>
            </w:r>
            <w:r w:rsidR="002671FC">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適切に表現する能力を育成し</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伝え合う力を高め</w:t>
            </w:r>
            <w:r w:rsidR="000E4FC1">
              <w:rPr>
                <w:rFonts w:ascii="ＭＳ ゴシック" w:eastAsia="ＭＳ ゴシック" w:hAnsi="ＭＳ ゴシック" w:hint="eastAsia"/>
                <w:sz w:val="18"/>
                <w:szCs w:val="18"/>
              </w:rPr>
              <w:t>、</w:t>
            </w:r>
            <w:r w:rsidRPr="00A8575F">
              <w:rPr>
                <w:rFonts w:ascii="ＭＳ ゴシック" w:eastAsia="ＭＳ ゴシック" w:hAnsi="ＭＳ ゴシック" w:hint="eastAsia"/>
                <w:sz w:val="18"/>
                <w:szCs w:val="18"/>
              </w:rPr>
              <w:t>必要な言語能力を確実に身につけられる教材</w:t>
            </w:r>
            <w:r>
              <w:rPr>
                <w:rFonts w:ascii="ＭＳ ゴシック" w:eastAsia="ＭＳ ゴシック" w:hAnsi="ＭＳ ゴシック" w:hint="eastAsia"/>
                <w:sz w:val="18"/>
                <w:szCs w:val="18"/>
              </w:rPr>
              <w:t>が</w:t>
            </w:r>
            <w:r w:rsidRPr="00A8575F">
              <w:rPr>
                <w:rFonts w:ascii="ＭＳ ゴシック" w:eastAsia="ＭＳ ゴシック" w:hAnsi="ＭＳ ゴシック" w:hint="eastAsia"/>
                <w:sz w:val="18"/>
                <w:szCs w:val="18"/>
              </w:rPr>
              <w:t>精選</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tc>
      </w:tr>
      <w:tr w:rsidR="001F1C2F" w:rsidRPr="006C456E" w14:paraId="3AA799DC" w14:textId="77777777" w:rsidTr="004A498F">
        <w:tc>
          <w:tcPr>
            <w:tcW w:w="1418" w:type="dxa"/>
            <w:tcMar>
              <w:top w:w="85" w:type="dxa"/>
              <w:bottom w:w="85" w:type="dxa"/>
            </w:tcMar>
          </w:tcPr>
          <w:p w14:paraId="55ED85D7" w14:textId="244634F4" w:rsidR="001F1C2F" w:rsidRPr="006C456E" w:rsidRDefault="002F5F4F" w:rsidP="00AD2EC2">
            <w:pPr>
              <w:topLinePunct/>
              <w:spacing w:line="32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Mar>
              <w:top w:w="85" w:type="dxa"/>
              <w:bottom w:w="85" w:type="dxa"/>
            </w:tcMar>
          </w:tcPr>
          <w:p w14:paraId="3CA24216" w14:textId="25503379" w:rsidR="00CA48D6" w:rsidRDefault="00D74BD9" w:rsidP="00AD2EC2">
            <w:pPr>
              <w:topLinePunct/>
              <w:spacing w:line="320" w:lineRule="exact"/>
              <w:ind w:left="180" w:hangingChars="100" w:hanging="180"/>
              <w:rPr>
                <w:rFonts w:ascii="ＭＳ ゴシック" w:eastAsia="ＭＳ ゴシック" w:hAnsi="ＭＳ ゴシック"/>
                <w:color w:val="0070C0"/>
                <w:sz w:val="18"/>
                <w:szCs w:val="18"/>
              </w:rPr>
            </w:pPr>
            <w:r w:rsidRPr="005D26A2">
              <w:rPr>
                <w:rFonts w:ascii="ＭＳ ゴシック" w:eastAsia="ＭＳ ゴシック" w:hAnsi="ＭＳ ゴシック" w:hint="eastAsia"/>
                <w:color w:val="0070C0"/>
                <w:sz w:val="18"/>
                <w:szCs w:val="18"/>
              </w:rPr>
              <w:t>●</w:t>
            </w:r>
            <w:r w:rsidR="00F256BE">
              <w:rPr>
                <w:rFonts w:ascii="ＭＳ ゴシック" w:eastAsia="ＭＳ ゴシック" w:hAnsi="ＭＳ ゴシック" w:hint="eastAsia"/>
                <w:sz w:val="18"/>
                <w:szCs w:val="18"/>
              </w:rPr>
              <w:t>学習の流れを重視した、文種で分けた単元構成となっている。</w:t>
            </w:r>
          </w:p>
          <w:p w14:paraId="072E26DA" w14:textId="5AFCEBFC" w:rsidR="0045321A" w:rsidRDefault="0045321A" w:rsidP="00AD2EC2">
            <w:pPr>
              <w:topLinePunct/>
              <w:spacing w:line="320" w:lineRule="exac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sidR="00F256BE">
              <w:rPr>
                <w:rFonts w:ascii="ＭＳ ゴシック" w:eastAsia="ＭＳ ゴシック" w:hAnsi="ＭＳ ゴシック" w:hint="eastAsia"/>
                <w:sz w:val="18"/>
                <w:szCs w:val="18"/>
              </w:rPr>
              <w:t>各部の冒頭には</w:t>
            </w:r>
            <w:r w:rsidR="00F256BE" w:rsidRPr="00F256BE">
              <w:rPr>
                <w:rFonts w:ascii="ＭＳ ゴシック" w:eastAsia="ＭＳ ゴシック" w:hAnsi="ＭＳ ゴシック" w:hint="eastAsia"/>
                <w:sz w:val="18"/>
                <w:szCs w:val="18"/>
              </w:rPr>
              <w:t>「小説の言葉・詩の言葉――文学国語へのいざない」「読むこと・書く</w:t>
            </w:r>
            <w:r w:rsidR="00F256BE">
              <w:rPr>
                <w:rFonts w:ascii="ＭＳ ゴシック" w:eastAsia="ＭＳ ゴシック" w:hAnsi="ＭＳ ゴシック" w:hint="eastAsia"/>
                <w:sz w:val="18"/>
                <w:szCs w:val="18"/>
              </w:rPr>
              <w:t>こと・語ること――文学国語の広がり」が設置され、科目としての入口が示され、末尾には「評論」を置くことで時代・文種を超えた「文学」全体を見わたすことができるよう位置づけられている。</w:t>
            </w:r>
          </w:p>
          <w:p w14:paraId="61AC4210" w14:textId="74472515" w:rsidR="00F259D6" w:rsidRDefault="0045321A" w:rsidP="00AD2EC2">
            <w:pPr>
              <w:topLinePunct/>
              <w:spacing w:line="320" w:lineRule="exac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sidR="00F259D6">
              <w:rPr>
                <w:rFonts w:ascii="ＭＳ ゴシック" w:eastAsia="ＭＳ ゴシック" w:hAnsi="ＭＳ ゴシック" w:hint="eastAsia"/>
                <w:sz w:val="18"/>
                <w:szCs w:val="18"/>
              </w:rPr>
              <w:t>言葉の特徴や使い方、我が国の言語文化についての関心を広げ、知識及び技能の着実な理解を図るため、「語句」「漢字」の取り立てなど、さまざまな工夫がされている。</w:t>
            </w:r>
          </w:p>
          <w:p w14:paraId="5F8A1705" w14:textId="59474846" w:rsidR="0045321A" w:rsidRDefault="0045321A" w:rsidP="00AD2EC2">
            <w:pPr>
              <w:topLinePunct/>
              <w:spacing w:line="320" w:lineRule="exac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sidR="00F259D6">
              <w:rPr>
                <w:rFonts w:ascii="ＭＳ ゴシック" w:eastAsia="ＭＳ ゴシック" w:hAnsi="ＭＳ ゴシック" w:hint="eastAsia"/>
                <w:sz w:val="18"/>
                <w:szCs w:val="18"/>
              </w:rPr>
              <w:t>書くことにおいては、作品の形式を学</w:t>
            </w:r>
            <w:r w:rsidR="002671FC">
              <w:rPr>
                <w:rFonts w:ascii="ＭＳ ゴシック" w:eastAsia="ＭＳ ゴシック" w:hAnsi="ＭＳ ゴシック" w:hint="eastAsia"/>
                <w:sz w:val="18"/>
                <w:szCs w:val="18"/>
              </w:rPr>
              <w:t>習した後に配置することで、学んだことを表現活動に活かすことができ</w:t>
            </w:r>
            <w:r w:rsidR="00F259D6">
              <w:rPr>
                <w:rFonts w:ascii="ＭＳ ゴシック" w:eastAsia="ＭＳ ゴシック" w:hAnsi="ＭＳ ゴシック" w:hint="eastAsia"/>
                <w:sz w:val="18"/>
                <w:szCs w:val="18"/>
              </w:rPr>
              <w:t>るよう工夫されており、実際の手順や例を示しながら効果的に</w:t>
            </w:r>
            <w:r w:rsidR="002671FC">
              <w:rPr>
                <w:rFonts w:ascii="ＭＳ ゴシック" w:eastAsia="ＭＳ ゴシック" w:hAnsi="ＭＳ ゴシック" w:hint="eastAsia"/>
                <w:sz w:val="18"/>
                <w:szCs w:val="18"/>
              </w:rPr>
              <w:t>文章</w:t>
            </w:r>
            <w:r w:rsidR="00F259D6">
              <w:rPr>
                <w:rFonts w:ascii="ＭＳ ゴシック" w:eastAsia="ＭＳ ゴシック" w:hAnsi="ＭＳ ゴシック" w:hint="eastAsia"/>
                <w:sz w:val="18"/>
                <w:szCs w:val="18"/>
              </w:rPr>
              <w:t>を書く機会となるよう配慮されている。</w:t>
            </w:r>
          </w:p>
          <w:p w14:paraId="18E41A2D" w14:textId="562BFA1E" w:rsidR="00F259D6" w:rsidRDefault="00557032" w:rsidP="00AD2EC2">
            <w:pPr>
              <w:topLinePunct/>
              <w:spacing w:line="320" w:lineRule="exac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sidR="00F259D6">
              <w:rPr>
                <w:rFonts w:ascii="ＭＳ ゴシック" w:eastAsia="ＭＳ ゴシック" w:hAnsi="ＭＳ ゴシック" w:hint="eastAsia"/>
                <w:sz w:val="18"/>
                <w:szCs w:val="18"/>
              </w:rPr>
              <w:t>「文学を読むために」「広がる読書」「読書の扉」などが設定され、文学への興味関心を喚起するよう工夫されている。</w:t>
            </w:r>
          </w:p>
          <w:p w14:paraId="14346F89" w14:textId="401BEA80" w:rsidR="0077400C" w:rsidRPr="00F259D6" w:rsidRDefault="00F259D6" w:rsidP="00AD2EC2">
            <w:pPr>
              <w:topLinePunct/>
              <w:spacing w:line="320" w:lineRule="exac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「学びを広げる」では</w:t>
            </w:r>
            <w:r w:rsidR="002671F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言葉に着目した活動を通して、総合的な国語の運用能力の向上を目指しており、作品理解だけでなく多角的な視点を</w:t>
            </w:r>
            <w:r w:rsidR="002671FC">
              <w:rPr>
                <w:rFonts w:ascii="ＭＳ ゴシック" w:eastAsia="ＭＳ ゴシック" w:hAnsi="ＭＳ ゴシック" w:hint="eastAsia"/>
                <w:sz w:val="18"/>
                <w:szCs w:val="18"/>
              </w:rPr>
              <w:t>も</w:t>
            </w:r>
            <w:r>
              <w:rPr>
                <w:rFonts w:ascii="ＭＳ ゴシック" w:eastAsia="ＭＳ ゴシック" w:hAnsi="ＭＳ ゴシック" w:hint="eastAsia"/>
                <w:sz w:val="18"/>
                <w:szCs w:val="18"/>
              </w:rPr>
              <w:t>つことができるよう工夫されている。</w:t>
            </w:r>
          </w:p>
        </w:tc>
      </w:tr>
      <w:tr w:rsidR="00E01DD6" w:rsidRPr="006C456E" w14:paraId="665CCF15" w14:textId="77777777" w:rsidTr="004A498F">
        <w:tc>
          <w:tcPr>
            <w:tcW w:w="1418" w:type="dxa"/>
            <w:tcMar>
              <w:top w:w="85" w:type="dxa"/>
              <w:bottom w:w="85" w:type="dxa"/>
            </w:tcMar>
          </w:tcPr>
          <w:p w14:paraId="14262F59" w14:textId="56847456" w:rsidR="00E01DD6" w:rsidRPr="006C456E" w:rsidRDefault="002F5F4F" w:rsidP="00AD2EC2">
            <w:pPr>
              <w:topLinePunct/>
              <w:spacing w:line="32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Mar>
              <w:top w:w="85" w:type="dxa"/>
              <w:bottom w:w="85" w:type="dxa"/>
            </w:tcMar>
          </w:tcPr>
          <w:p w14:paraId="72DB9CDE" w14:textId="51999242" w:rsidR="002F5F4F"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F256BE">
              <w:rPr>
                <w:rFonts w:ascii="ＭＳ ゴシック" w:eastAsia="ＭＳ ゴシック" w:hAnsi="ＭＳ ゴシック" w:hint="eastAsia"/>
                <w:sz w:val="18"/>
                <w:szCs w:val="18"/>
              </w:rPr>
              <w:t>挿絵や図版が</w:t>
            </w:r>
            <w:r w:rsidR="002F5F4F" w:rsidRPr="006C456E">
              <w:rPr>
                <w:rFonts w:ascii="ＭＳ ゴシック" w:eastAsia="ＭＳ ゴシック" w:hAnsi="ＭＳ ゴシック" w:hint="eastAsia"/>
                <w:sz w:val="18"/>
                <w:szCs w:val="18"/>
              </w:rPr>
              <w:t>適所に</w:t>
            </w:r>
            <w:r w:rsidR="00F256BE">
              <w:rPr>
                <w:rFonts w:ascii="ＭＳ ゴシック" w:eastAsia="ＭＳ ゴシック" w:hAnsi="ＭＳ ゴシック" w:hint="eastAsia"/>
                <w:sz w:val="18"/>
                <w:szCs w:val="18"/>
              </w:rPr>
              <w:t>配置され、生徒の学習意欲を喚起し、内容の理解を支えるものとなっている。</w:t>
            </w:r>
          </w:p>
          <w:p w14:paraId="623CE2C7" w14:textId="0304CBED" w:rsidR="00DD2EA9" w:rsidRPr="006C456E" w:rsidRDefault="00DD2EA9" w:rsidP="00AD2EC2">
            <w:pPr>
              <w:topLinePunct/>
              <w:spacing w:line="32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F256BE">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26ED408C" w:rsidR="002F5F4F" w:rsidRPr="006C456E" w:rsidRDefault="002F5F4F"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脚注は分量・内容とも適切である。また、平易な表現で記述されており、生徒の理解を助けるものとなっている。</w:t>
            </w:r>
          </w:p>
          <w:p w14:paraId="17F32846" w14:textId="18DA5451" w:rsidR="00E01DD6"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6289" w:rsidRPr="00816289">
              <w:rPr>
                <w:rFonts w:ascii="ＭＳ ゴシック" w:eastAsia="ＭＳ ゴシック" w:hAnsi="ＭＳ ゴシック" w:hint="eastAsia"/>
                <w:sz w:val="18"/>
                <w:szCs w:val="18"/>
              </w:rPr>
              <w:t>授業</w:t>
            </w:r>
            <w:r w:rsidRPr="006C456E">
              <w:rPr>
                <w:rFonts w:ascii="ＭＳ ゴシック" w:eastAsia="ＭＳ ゴシック" w:hAnsi="ＭＳ ゴシック" w:hint="eastAsia"/>
                <w:sz w:val="18"/>
                <w:szCs w:val="18"/>
              </w:rPr>
              <w:t>を支援する</w:t>
            </w:r>
            <w:r w:rsidR="00816289">
              <w:rPr>
                <w:rFonts w:ascii="ＭＳ ゴシック" w:eastAsia="ＭＳ ゴシック" w:hAnsi="ＭＳ ゴシック" w:hint="eastAsia"/>
                <w:sz w:val="18"/>
                <w:szCs w:val="18"/>
              </w:rPr>
              <w:t>教師用</w:t>
            </w:r>
            <w:r w:rsidRPr="006C456E">
              <w:rPr>
                <w:rFonts w:ascii="ＭＳ ゴシック" w:eastAsia="ＭＳ ゴシック" w:hAnsi="ＭＳ ゴシック" w:hint="eastAsia"/>
                <w:sz w:val="18"/>
                <w:szCs w:val="18"/>
              </w:rPr>
              <w:t>指導書や教材、</w:t>
            </w:r>
            <w:r w:rsidR="00816289">
              <w:rPr>
                <w:rFonts w:ascii="ＭＳ ゴシック" w:eastAsia="ＭＳ ゴシック" w:hAnsi="ＭＳ ゴシック" w:hint="eastAsia"/>
                <w:sz w:val="18"/>
                <w:szCs w:val="18"/>
              </w:rPr>
              <w:t>ICTツール</w:t>
            </w:r>
            <w:r w:rsidRPr="006C456E">
              <w:rPr>
                <w:rFonts w:ascii="ＭＳ ゴシック" w:eastAsia="ＭＳ ゴシック" w:hAnsi="ＭＳ ゴシック" w:hint="eastAsia"/>
                <w:sz w:val="18"/>
                <w:szCs w:val="18"/>
              </w:rPr>
              <w:t>などが充実して</w:t>
            </w:r>
            <w:r w:rsidR="00816289">
              <w:rPr>
                <w:rFonts w:ascii="ＭＳ ゴシック" w:eastAsia="ＭＳ ゴシック" w:hAnsi="ＭＳ ゴシック" w:hint="eastAsia"/>
                <w:sz w:val="18"/>
                <w:szCs w:val="18"/>
              </w:rPr>
              <w:t>いる。教科書には学習をサポートする二次元コードがある。</w:t>
            </w:r>
            <w:r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4A498F">
        <w:tc>
          <w:tcPr>
            <w:tcW w:w="1418" w:type="dxa"/>
            <w:tcMar>
              <w:top w:w="85" w:type="dxa"/>
              <w:bottom w:w="85" w:type="dxa"/>
            </w:tcMar>
          </w:tcPr>
          <w:p w14:paraId="07502CB9" w14:textId="4439D269" w:rsidR="00A37835" w:rsidRPr="006C456E" w:rsidRDefault="002F5F4F" w:rsidP="00AD2EC2">
            <w:pPr>
              <w:topLinePunct/>
              <w:spacing w:line="32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Mar>
              <w:top w:w="85" w:type="dxa"/>
              <w:bottom w:w="85" w:type="dxa"/>
            </w:tcMar>
          </w:tcPr>
          <w:p w14:paraId="52345379" w14:textId="77C0E7EB" w:rsidR="00A37835"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10C6C4F7" w14:textId="7696195F" w:rsidR="00A37835"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w:t>
            </w:r>
            <w:r w:rsidR="002671FC">
              <w:rPr>
                <w:rFonts w:ascii="ＭＳ ゴシック" w:eastAsia="ＭＳ ゴシック" w:hAnsi="ＭＳ ゴシック" w:hint="eastAsia"/>
                <w:sz w:val="18"/>
                <w:szCs w:val="18"/>
              </w:rPr>
              <w:t>として</w:t>
            </w:r>
            <w:r w:rsidR="00A37835" w:rsidRPr="006C456E">
              <w:rPr>
                <w:rFonts w:ascii="ＭＳ ゴシック" w:eastAsia="ＭＳ ゴシック" w:hAnsi="ＭＳ ゴシック" w:hint="eastAsia"/>
                <w:sz w:val="18"/>
                <w:szCs w:val="18"/>
              </w:rPr>
              <w:t>、色覚の特性を考慮し、誰にでも見やすく、学びやすい配色に</w:t>
            </w:r>
            <w:r w:rsidR="002671FC">
              <w:rPr>
                <w:rFonts w:ascii="ＭＳ ゴシック" w:eastAsia="ＭＳ ゴシック" w:hAnsi="ＭＳ ゴシック" w:hint="eastAsia"/>
                <w:sz w:val="18"/>
                <w:szCs w:val="18"/>
              </w:rPr>
              <w:t>なっ</w:t>
            </w:r>
            <w:r w:rsidR="00A37835" w:rsidRPr="006C456E">
              <w:rPr>
                <w:rFonts w:ascii="ＭＳ ゴシック" w:eastAsia="ＭＳ ゴシック" w:hAnsi="ＭＳ ゴシック" w:hint="eastAsia"/>
                <w:sz w:val="18"/>
                <w:szCs w:val="18"/>
              </w:rPr>
              <w:t>ている。識別しにくい配色は避け、色だけの違いに頼らず、形の違いや、記号・番号・説明文などの補助的な手がかりを設け、色の濃淡や罫線の使い分けなどで違いが明確になるように配慮している。</w:t>
            </w:r>
          </w:p>
          <w:p w14:paraId="29D063E4" w14:textId="26F66066" w:rsidR="00B02FF9" w:rsidRPr="006C456E" w:rsidRDefault="00B02FF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062357">
              <w:rPr>
                <w:rFonts w:ascii="ＭＳ ゴシック" w:eastAsia="ＭＳ ゴシック" w:hAnsi="ＭＳ ゴシック" w:hint="eastAsia"/>
                <w:sz w:val="18"/>
                <w:szCs w:val="18"/>
              </w:rPr>
              <w:t>教材で使用している文字にUDフォントを使用し、読み誤りなどが生じにくいように配慮</w:t>
            </w:r>
            <w:r w:rsidR="002F5F4F" w:rsidRPr="00062357">
              <w:rPr>
                <w:rFonts w:ascii="ＭＳ ゴシック" w:eastAsia="ＭＳ ゴシック" w:hAnsi="ＭＳ ゴシック" w:hint="eastAsia"/>
                <w:sz w:val="18"/>
                <w:szCs w:val="18"/>
              </w:rPr>
              <w:t>している。</w:t>
            </w:r>
          </w:p>
        </w:tc>
      </w:tr>
      <w:tr w:rsidR="00A37835" w:rsidRPr="006C456E" w14:paraId="16B26E62" w14:textId="77777777" w:rsidTr="004A498F">
        <w:tc>
          <w:tcPr>
            <w:tcW w:w="1418" w:type="dxa"/>
            <w:tcMar>
              <w:top w:w="85" w:type="dxa"/>
              <w:bottom w:w="85" w:type="dxa"/>
            </w:tcMar>
          </w:tcPr>
          <w:p w14:paraId="7FEA3B52" w14:textId="6222FC16" w:rsidR="00A37835" w:rsidRPr="006C456E" w:rsidRDefault="002F5F4F" w:rsidP="00AD2EC2">
            <w:pPr>
              <w:topLinePunct/>
              <w:spacing w:line="32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Mar>
              <w:top w:w="85" w:type="dxa"/>
              <w:bottom w:w="85" w:type="dxa"/>
            </w:tcMar>
          </w:tcPr>
          <w:p w14:paraId="3ACEE34C" w14:textId="5750C554" w:rsidR="00A37835"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AD2EC2">
            <w:pPr>
              <w:topLinePunct/>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A498F">
        <w:tc>
          <w:tcPr>
            <w:tcW w:w="9622" w:type="dxa"/>
            <w:gridSpan w:val="2"/>
            <w:tcMar>
              <w:top w:w="85" w:type="dxa"/>
              <w:bottom w:w="85" w:type="dxa"/>
            </w:tcMar>
          </w:tcPr>
          <w:p w14:paraId="27277AC5" w14:textId="77777777" w:rsidR="005D26A2" w:rsidRDefault="005F2FB6" w:rsidP="00F454C9">
            <w:pPr>
              <w:topLinePunct/>
              <w:spacing w:line="320" w:lineRule="exact"/>
              <w:ind w:left="97"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7B6DBA3F" w:rsidR="005F2FB6" w:rsidRPr="006C456E" w:rsidRDefault="00873017" w:rsidP="00AD2EC2">
            <w:pPr>
              <w:topLinePunct/>
              <w:spacing w:line="32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w:t>
            </w:r>
            <w:r w:rsidR="002671FC">
              <w:rPr>
                <w:rFonts w:ascii="ＭＳ ゴシック" w:eastAsia="ＭＳ ゴシック" w:hAnsi="ＭＳ ゴシック" w:hint="eastAsia"/>
                <w:sz w:val="18"/>
                <w:szCs w:val="18"/>
              </w:rPr>
              <w:t>的に</w:t>
            </w:r>
            <w:r w:rsidR="00C34C87" w:rsidRPr="006C456E">
              <w:rPr>
                <w:rFonts w:ascii="ＭＳ ゴシック" w:eastAsia="ＭＳ ゴシック" w:hAnsi="ＭＳ ゴシック" w:hint="eastAsia"/>
                <w:sz w:val="18"/>
                <w:szCs w:val="18"/>
              </w:rPr>
              <w:t>も適切である。</w:t>
            </w:r>
            <w:r w:rsidR="00491FA9" w:rsidRPr="00F9395B">
              <w:rPr>
                <w:rFonts w:ascii="ＭＳ ゴシック" w:eastAsia="ＭＳ ゴシック" w:hAnsi="ＭＳ ゴシック" w:hint="eastAsia"/>
                <w:sz w:val="18"/>
                <w:szCs w:val="18"/>
              </w:rPr>
              <w:t>生涯にわたる社会生活に</w:t>
            </w:r>
            <w:r w:rsidR="00B02FF9" w:rsidRPr="00F9395B">
              <w:rPr>
                <w:rFonts w:ascii="ＭＳ ゴシック" w:eastAsia="ＭＳ ゴシック" w:hAnsi="ＭＳ ゴシック" w:hint="eastAsia"/>
                <w:sz w:val="18"/>
                <w:szCs w:val="18"/>
              </w:rPr>
              <w:t>必要な国語の知識や技能の習得と、</w:t>
            </w:r>
            <w:r w:rsidR="00B02FF9" w:rsidRPr="006C456E">
              <w:rPr>
                <w:rFonts w:ascii="ＭＳ ゴシック" w:eastAsia="ＭＳ ゴシック" w:hAnsi="ＭＳ ゴシック" w:hint="eastAsia"/>
                <w:sz w:val="18"/>
                <w:szCs w:val="18"/>
              </w:rPr>
              <w:t>それらを活用して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w:t>
            </w:r>
            <w:r w:rsidR="00F32931">
              <w:rPr>
                <w:rFonts w:ascii="ＭＳ ゴシック" w:eastAsia="ＭＳ ゴシック" w:hAnsi="ＭＳ ゴシック" w:hint="eastAsia"/>
                <w:sz w:val="18"/>
                <w:szCs w:val="18"/>
              </w:rPr>
              <w:t>が</w:t>
            </w:r>
            <w:r w:rsidR="00B02FF9" w:rsidRPr="006C456E">
              <w:rPr>
                <w:rFonts w:ascii="ＭＳ ゴシック" w:eastAsia="ＭＳ ゴシック" w:hAnsi="ＭＳ ゴシック" w:hint="eastAsia"/>
                <w:sz w:val="18"/>
                <w:szCs w:val="18"/>
              </w:rPr>
              <w:t>随所に施され、主体的・対話的で深い学びができる。</w:t>
            </w:r>
            <w:r w:rsidR="006D5A34" w:rsidRPr="006C456E">
              <w:rPr>
                <w:rFonts w:ascii="ＭＳ ゴシック" w:eastAsia="ＭＳ ゴシック" w:hAnsi="ＭＳ ゴシック" w:hint="eastAsia"/>
                <w:sz w:val="18"/>
                <w:szCs w:val="18"/>
              </w:rPr>
              <w:t>この教科書は、</w:t>
            </w:r>
            <w:r w:rsidR="000018DF">
              <w:rPr>
                <w:rFonts w:ascii="ＭＳ ゴシック" w:eastAsia="ＭＳ ゴシック" w:hAnsi="ＭＳ ゴシック" w:hint="eastAsia"/>
                <w:sz w:val="18"/>
                <w:szCs w:val="18"/>
              </w:rPr>
              <w:t>科目</w:t>
            </w:r>
            <w:r w:rsidR="00CA47CC">
              <w:rPr>
                <w:rFonts w:ascii="ＭＳ ゴシック" w:eastAsia="ＭＳ ゴシック" w:hAnsi="ＭＳ ゴシック" w:hint="eastAsia"/>
                <w:sz w:val="18"/>
                <w:szCs w:val="18"/>
              </w:rPr>
              <w:t>「</w:t>
            </w:r>
            <w:r w:rsidR="000018DF">
              <w:rPr>
                <w:rFonts w:ascii="ＭＳ ゴシック" w:eastAsia="ＭＳ ゴシック" w:hAnsi="ＭＳ ゴシック" w:hint="eastAsia"/>
                <w:sz w:val="18"/>
                <w:szCs w:val="18"/>
              </w:rPr>
              <w:t>文学国語</w:t>
            </w:r>
            <w:r w:rsidR="00CA47CC">
              <w:rPr>
                <w:rFonts w:ascii="ＭＳ ゴシック" w:eastAsia="ＭＳ ゴシック" w:hAnsi="ＭＳ ゴシック" w:hint="eastAsia"/>
                <w:sz w:val="18"/>
                <w:szCs w:val="18"/>
              </w:rPr>
              <w:t>」</w:t>
            </w:r>
            <w:r w:rsidR="006D5A34" w:rsidRPr="00F9395B">
              <w:rPr>
                <w:rFonts w:ascii="ＭＳ ゴシック" w:eastAsia="ＭＳ ゴシック" w:hAnsi="ＭＳ ゴシック" w:hint="eastAsia"/>
                <w:sz w:val="18"/>
                <w:szCs w:val="18"/>
              </w:rPr>
              <w:t>の目標である、</w:t>
            </w:r>
            <w:r w:rsidR="000018DF" w:rsidRPr="000018DF">
              <w:rPr>
                <w:rFonts w:ascii="ＭＳ ゴシック" w:eastAsia="ＭＳ ゴシック" w:hAnsi="ＭＳ ゴシック" w:hint="eastAsia"/>
                <w:sz w:val="18"/>
                <w:szCs w:val="18"/>
              </w:rPr>
              <w:t>言葉による見方・考え方を働かせ、言語活動を通して、国語で的確に理解し効果的に表現する資質・能力を育成することに適した教科書である。</w:t>
            </w:r>
          </w:p>
        </w:tc>
      </w:tr>
    </w:tbl>
    <w:p w14:paraId="6614DA47" w14:textId="77777777" w:rsidR="001F1C2F" w:rsidRPr="00F86C7F" w:rsidRDefault="001F1C2F" w:rsidP="00AD2EC2">
      <w:pPr>
        <w:topLinePunct/>
        <w:spacing w:line="320" w:lineRule="atLeast"/>
        <w:rPr>
          <w:sz w:val="18"/>
          <w:szCs w:val="18"/>
        </w:rPr>
      </w:pPr>
    </w:p>
    <w:sectPr w:rsidR="001F1C2F" w:rsidRPr="00F86C7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7503F" w14:textId="77777777" w:rsidR="00E90662" w:rsidRDefault="00E90662" w:rsidP="00E13A33">
      <w:r>
        <w:separator/>
      </w:r>
    </w:p>
  </w:endnote>
  <w:endnote w:type="continuationSeparator" w:id="0">
    <w:p w14:paraId="74F4A056" w14:textId="77777777" w:rsidR="00E90662" w:rsidRDefault="00E90662"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1FE8E460" w:rsidR="00F86C7F" w:rsidRDefault="00302D50"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413B0" w14:textId="77777777" w:rsidR="00E90662" w:rsidRDefault="00E90662" w:rsidP="00E13A33">
      <w:r>
        <w:separator/>
      </w:r>
    </w:p>
  </w:footnote>
  <w:footnote w:type="continuationSeparator" w:id="0">
    <w:p w14:paraId="7CA35BB3" w14:textId="77777777" w:rsidR="00E90662" w:rsidRDefault="00E90662"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115027A0" w:rsidR="00E13A33" w:rsidRPr="00147D27" w:rsidRDefault="00E13A33" w:rsidP="00147D27">
    <w:pPr>
      <w:pStyle w:val="a3"/>
      <w:jc w:val="center"/>
      <w:rPr>
        <w:b/>
        <w:bCs/>
        <w:szCs w:val="21"/>
      </w:rPr>
    </w:pPr>
    <w:r w:rsidRPr="00E01DD6">
      <w:rPr>
        <w:rFonts w:hint="eastAsia"/>
        <w:b/>
        <w:bCs/>
        <w:szCs w:val="21"/>
      </w:rPr>
      <w:t>『</w:t>
    </w:r>
    <w:r w:rsidR="000E4FC1">
      <w:rPr>
        <w:rFonts w:hint="eastAsia"/>
        <w:b/>
        <w:bCs/>
        <w:szCs w:val="21"/>
      </w:rPr>
      <w:t>精選</w:t>
    </w:r>
    <w:r w:rsidR="000E4FC1">
      <w:rPr>
        <w:rFonts w:hint="eastAsia"/>
        <w:b/>
        <w:bCs/>
        <w:szCs w:val="21"/>
      </w:rPr>
      <w:t xml:space="preserve"> </w:t>
    </w:r>
    <w:r w:rsidR="000E4FC1">
      <w:rPr>
        <w:rFonts w:hint="eastAsia"/>
        <w:b/>
        <w:bCs/>
        <w:szCs w:val="21"/>
      </w:rPr>
      <w:t>文学国語</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6D5EAB">
      <w:rPr>
        <w:rFonts w:hint="eastAsia"/>
        <w:b/>
        <w:bCs/>
        <w:szCs w:val="21"/>
      </w:rPr>
      <w:t>文国</w:t>
    </w:r>
    <w:r w:rsidR="00147D27">
      <w:rPr>
        <w:b/>
        <w:bCs/>
        <w:szCs w:val="21"/>
      </w:rPr>
      <w:t xml:space="preserve"> </w:t>
    </w:r>
    <w:r w:rsidR="00816289">
      <w:rPr>
        <w:b/>
        <w:bCs/>
        <w:szCs w:val="21"/>
      </w:rPr>
      <w:t>70</w:t>
    </w:r>
    <w:r w:rsidR="006D5EAB">
      <w:rPr>
        <w:rFonts w:hint="eastAsia"/>
        <w:b/>
        <w:bCs/>
        <w:szCs w:val="21"/>
      </w:rPr>
      <w:t>2</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018DF"/>
    <w:rsid w:val="00020D41"/>
    <w:rsid w:val="00062357"/>
    <w:rsid w:val="000B0D02"/>
    <w:rsid w:val="000E4FC1"/>
    <w:rsid w:val="000F1EAF"/>
    <w:rsid w:val="00147D27"/>
    <w:rsid w:val="001A6241"/>
    <w:rsid w:val="001F1C2F"/>
    <w:rsid w:val="00236CAA"/>
    <w:rsid w:val="002671FC"/>
    <w:rsid w:val="00274956"/>
    <w:rsid w:val="002945D8"/>
    <w:rsid w:val="002A1DBF"/>
    <w:rsid w:val="002D270C"/>
    <w:rsid w:val="002E05CB"/>
    <w:rsid w:val="002E3250"/>
    <w:rsid w:val="002F5F4F"/>
    <w:rsid w:val="00302D50"/>
    <w:rsid w:val="00336E97"/>
    <w:rsid w:val="003C3B29"/>
    <w:rsid w:val="0045321A"/>
    <w:rsid w:val="00491FA9"/>
    <w:rsid w:val="004A498F"/>
    <w:rsid w:val="00503550"/>
    <w:rsid w:val="005111C5"/>
    <w:rsid w:val="00522058"/>
    <w:rsid w:val="00522FD3"/>
    <w:rsid w:val="00557032"/>
    <w:rsid w:val="0059029F"/>
    <w:rsid w:val="005D26A2"/>
    <w:rsid w:val="005F2FB6"/>
    <w:rsid w:val="006B7387"/>
    <w:rsid w:val="006C456E"/>
    <w:rsid w:val="006D5A34"/>
    <w:rsid w:val="006D5EAB"/>
    <w:rsid w:val="006E30B3"/>
    <w:rsid w:val="00722492"/>
    <w:rsid w:val="0077400C"/>
    <w:rsid w:val="00792944"/>
    <w:rsid w:val="008120FE"/>
    <w:rsid w:val="00816289"/>
    <w:rsid w:val="00873017"/>
    <w:rsid w:val="00891ABD"/>
    <w:rsid w:val="00A37835"/>
    <w:rsid w:val="00A4171B"/>
    <w:rsid w:val="00A8575F"/>
    <w:rsid w:val="00AA5F76"/>
    <w:rsid w:val="00AD2EC2"/>
    <w:rsid w:val="00B02FF9"/>
    <w:rsid w:val="00B711C3"/>
    <w:rsid w:val="00BA3AE2"/>
    <w:rsid w:val="00BD65EE"/>
    <w:rsid w:val="00C34C87"/>
    <w:rsid w:val="00CA47CC"/>
    <w:rsid w:val="00CA48D6"/>
    <w:rsid w:val="00CD4B8A"/>
    <w:rsid w:val="00CF6A21"/>
    <w:rsid w:val="00D351B4"/>
    <w:rsid w:val="00D74BD9"/>
    <w:rsid w:val="00DD2EA9"/>
    <w:rsid w:val="00DE1E35"/>
    <w:rsid w:val="00DE4571"/>
    <w:rsid w:val="00E01DD6"/>
    <w:rsid w:val="00E13A33"/>
    <w:rsid w:val="00E90662"/>
    <w:rsid w:val="00EB1FB1"/>
    <w:rsid w:val="00EE6E16"/>
    <w:rsid w:val="00F256BE"/>
    <w:rsid w:val="00F259D6"/>
    <w:rsid w:val="00F32931"/>
    <w:rsid w:val="00F454C9"/>
    <w:rsid w:val="00F86C7F"/>
    <w:rsid w:val="00F9395B"/>
    <w:rsid w:val="00FC05C3"/>
    <w:rsid w:val="00FE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2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2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763498493">
      <w:bodyDiv w:val="1"/>
      <w:marLeft w:val="0"/>
      <w:marRight w:val="0"/>
      <w:marTop w:val="0"/>
      <w:marBottom w:val="0"/>
      <w:divBdr>
        <w:top w:val="none" w:sz="0" w:space="0" w:color="auto"/>
        <w:left w:val="none" w:sz="0" w:space="0" w:color="auto"/>
        <w:bottom w:val="none" w:sz="0" w:space="0" w:color="auto"/>
        <w:right w:val="none" w:sz="0" w:space="0" w:color="auto"/>
      </w:divBdr>
    </w:div>
    <w:div w:id="1377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376</Words>
  <Characters>2146</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2022-05-31T09:25:00Z</cp:lastPrinted>
  <dcterms:created xsi:type="dcterms:W3CDTF">2021-05-24T09:15:00Z</dcterms:created>
  <dcterms:modified xsi:type="dcterms:W3CDTF">2022-05-31T09:25:00Z</dcterms:modified>
</cp:coreProperties>
</file>