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DE" w:rsidRDefault="00C14EDE"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E56170" w:rsidRDefault="00E56170" w:rsidP="00C71591">
      <w:pPr>
        <w:pBdr>
          <w:bottom w:val="thinThickSmallGap" w:sz="24" w:space="1" w:color="auto"/>
        </w:pBdr>
      </w:pPr>
    </w:p>
    <w:p w:rsidR="00A845BB" w:rsidRPr="00E56170" w:rsidRDefault="00A845BB" w:rsidP="00E56170"/>
    <w:p w:rsidR="005D3379" w:rsidRPr="00C71591" w:rsidRDefault="005D3379" w:rsidP="00C71591">
      <w:pPr>
        <w:ind w:leftChars="350" w:left="700"/>
        <w:jc w:val="left"/>
        <w:textAlignment w:val="center"/>
        <w:rPr>
          <w:rFonts w:ascii="ＭＳ Ｐゴシック" w:eastAsia="ＭＳ Ｐゴシック" w:hAnsi="ＭＳ Ｐゴシック"/>
          <w:sz w:val="52"/>
          <w:szCs w:val="48"/>
        </w:rPr>
      </w:pPr>
      <w:r w:rsidRPr="00C71591">
        <w:rPr>
          <w:rFonts w:ascii="ＭＳ Ｐゴシック" w:eastAsia="ＭＳ Ｐゴシック" w:hAnsi="ＭＳ Ｐゴシック" w:hint="eastAsia"/>
          <w:sz w:val="52"/>
          <w:szCs w:val="48"/>
        </w:rPr>
        <w:t>令和3年度『現代の国語』</w:t>
      </w:r>
    </w:p>
    <w:p w:rsidR="00C14EDE" w:rsidRPr="005D3379" w:rsidRDefault="00C14EDE" w:rsidP="005D3379"/>
    <w:p w:rsidR="008D5FFC" w:rsidRPr="00C71591" w:rsidRDefault="008D5FFC" w:rsidP="00E13C45">
      <w:pPr>
        <w:pBdr>
          <w:top w:val="thinThickSmallGap" w:sz="24" w:space="1" w:color="auto"/>
          <w:bottom w:val="thickThinSmallGap" w:sz="24" w:space="1" w:color="auto"/>
        </w:pBdr>
        <w:shd w:val="clear" w:color="auto" w:fill="000000" w:themeFill="text1"/>
        <w:topLinePunct/>
        <w:spacing w:line="1600" w:lineRule="exact"/>
        <w:jc w:val="center"/>
        <w:textAlignment w:val="center"/>
        <w:rPr>
          <w:rFonts w:ascii="ＭＳ Ｐゴシック" w:eastAsia="ＭＳ Ｐゴシック" w:hAnsi="ＭＳ Ｐゴシック"/>
          <w:sz w:val="72"/>
          <w:szCs w:val="80"/>
        </w:rPr>
      </w:pPr>
      <w:r w:rsidRPr="00C71591">
        <w:rPr>
          <w:rFonts w:ascii="ＭＳ Ｐゴシック" w:eastAsia="ＭＳ Ｐゴシック" w:hAnsi="ＭＳ Ｐゴシック" w:hint="eastAsia"/>
          <w:sz w:val="72"/>
          <w:szCs w:val="80"/>
        </w:rPr>
        <w:t>年間学習指導計画作成資料</w:t>
      </w:r>
    </w:p>
    <w:p w:rsidR="008D5FFC" w:rsidRPr="002C0CE1" w:rsidRDefault="008D5FFC" w:rsidP="002C0CE1">
      <w:pPr>
        <w:topLinePunct/>
      </w:pPr>
    </w:p>
    <w:p w:rsidR="00A372BF" w:rsidRPr="002C0CE1" w:rsidRDefault="00A372BF" w:rsidP="002C0CE1">
      <w:pPr>
        <w:topLinePunct/>
      </w:pPr>
    </w:p>
    <w:p w:rsidR="008D5FFC" w:rsidRPr="002C0CE1" w:rsidRDefault="008D5FFC" w:rsidP="002C0CE1">
      <w:pPr>
        <w:topLinePunct/>
      </w:pPr>
    </w:p>
    <w:p w:rsidR="00A372BF" w:rsidRPr="002C0CE1" w:rsidRDefault="00A372BF" w:rsidP="002C0CE1">
      <w:pPr>
        <w:topLinePunct/>
      </w:pPr>
    </w:p>
    <w:p w:rsidR="00A372BF" w:rsidRDefault="00A372BF"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3756D0" w:rsidRDefault="003756D0" w:rsidP="002C0CE1">
      <w:pPr>
        <w:topLinePunct/>
      </w:pPr>
    </w:p>
    <w:p w:rsidR="003756D0" w:rsidRDefault="003756D0" w:rsidP="002C0CE1">
      <w:pPr>
        <w:topLinePunct/>
      </w:pPr>
    </w:p>
    <w:p w:rsidR="003756D0" w:rsidRDefault="003756D0" w:rsidP="002C0CE1">
      <w:pPr>
        <w:topLinePunct/>
      </w:pPr>
    </w:p>
    <w:p w:rsidR="003756D0" w:rsidRDefault="003756D0" w:rsidP="002C0CE1">
      <w:pPr>
        <w:topLinePunct/>
      </w:pPr>
    </w:p>
    <w:p w:rsidR="003756D0" w:rsidRDefault="003756D0" w:rsidP="002C0CE1">
      <w:pPr>
        <w:topLinePunct/>
      </w:pPr>
    </w:p>
    <w:p w:rsidR="003756D0" w:rsidRPr="002C0CE1" w:rsidRDefault="003756D0" w:rsidP="002C0CE1">
      <w:pPr>
        <w:topLinePunct/>
        <w:rPr>
          <w:rFonts w:hint="eastAsia"/>
        </w:rPr>
      </w:pPr>
    </w:p>
    <w:p w:rsidR="008D5FFC" w:rsidRPr="002C0CE1" w:rsidRDefault="008D5FFC" w:rsidP="002C0CE1">
      <w:pPr>
        <w:topLinePunct/>
      </w:pPr>
    </w:p>
    <w:p w:rsidR="008D5FFC" w:rsidRPr="00C71591" w:rsidRDefault="008D5FFC" w:rsidP="002C0CE1">
      <w:pPr>
        <w:topLinePunct/>
        <w:jc w:val="center"/>
        <w:rPr>
          <w:rFonts w:ascii="ＭＳ Ｐゴシック" w:eastAsia="ＭＳ Ｐゴシック" w:hAnsi="ＭＳ Ｐゴシック"/>
          <w:sz w:val="32"/>
        </w:rPr>
      </w:pPr>
      <w:r w:rsidRPr="00C71591">
        <w:rPr>
          <w:rFonts w:ascii="ＭＳ Ｐゴシック" w:eastAsia="ＭＳ Ｐゴシック" w:hAnsi="ＭＳ Ｐゴシック" w:hint="eastAsia"/>
          <w:sz w:val="32"/>
        </w:rPr>
        <w:t>令和</w:t>
      </w:r>
      <w:r w:rsidR="003756D0">
        <w:rPr>
          <w:rFonts w:ascii="ＭＳ Ｐゴシック" w:eastAsia="ＭＳ Ｐゴシック" w:hAnsi="ＭＳ Ｐゴシック" w:hint="eastAsia"/>
          <w:sz w:val="32"/>
        </w:rPr>
        <w:t>3</w:t>
      </w:r>
      <w:r w:rsidRPr="00C71591">
        <w:rPr>
          <w:rFonts w:ascii="ＭＳ Ｐゴシック" w:eastAsia="ＭＳ Ｐゴシック" w:hAnsi="ＭＳ Ｐゴシック" w:hint="eastAsia"/>
          <w:sz w:val="32"/>
        </w:rPr>
        <w:t>年</w:t>
      </w:r>
      <w:r w:rsidR="00502A5A">
        <w:rPr>
          <w:rFonts w:ascii="ＭＳ Ｐゴシック" w:eastAsia="ＭＳ Ｐゴシック" w:hAnsi="ＭＳ Ｐゴシック"/>
          <w:sz w:val="32"/>
        </w:rPr>
        <w:t>3</w:t>
      </w:r>
      <w:r w:rsidRPr="00C71591">
        <w:rPr>
          <w:rFonts w:ascii="ＭＳ Ｐゴシック" w:eastAsia="ＭＳ Ｐゴシック" w:hAnsi="ＭＳ Ｐゴシック" w:hint="eastAsia"/>
          <w:sz w:val="32"/>
        </w:rPr>
        <w:t>月</w:t>
      </w:r>
    </w:p>
    <w:p w:rsidR="008D5FFC" w:rsidRDefault="008D5FFC" w:rsidP="005D3379">
      <w:pPr>
        <w:topLinePunct/>
        <w:jc w:val="center"/>
      </w:pPr>
      <w:r w:rsidRPr="005D3379">
        <w:rPr>
          <w:rFonts w:ascii="ＭＳ ゴシック" w:eastAsia="ＭＳ ゴシック" w:hAnsi="ＭＳ ゴシック" w:hint="eastAsia"/>
          <w:sz w:val="48"/>
        </w:rPr>
        <w:t>三省堂</w:t>
      </w:r>
      <w:r>
        <w:br w:type="page"/>
      </w:r>
    </w:p>
    <w:p w:rsidR="002C0CE1" w:rsidRPr="00706F27" w:rsidRDefault="002C0CE1" w:rsidP="002C0CE1">
      <w:pPr>
        <w:pStyle w:val="a7"/>
        <w:shd w:val="clear" w:color="auto" w:fill="000000"/>
        <w:wordWrap/>
        <w:overflowPunct w:val="0"/>
        <w:spacing w:line="240" w:lineRule="auto"/>
        <w:ind w:firstLineChars="100" w:firstLine="280"/>
        <w:rPr>
          <w:rFonts w:ascii="ＭＳ Ｐゴシック" w:eastAsia="ＭＳ Ｐゴシック" w:hAnsi="ＭＳ Ｐゴシック" w:cs="ＭＳ ゴシック"/>
          <w:sz w:val="28"/>
          <w:szCs w:val="28"/>
        </w:rPr>
      </w:pPr>
      <w:r>
        <w:rPr>
          <w:rFonts w:ascii="ＭＳ Ｐゴシック" w:eastAsia="ＭＳ Ｐゴシック" w:hAnsi="ＭＳ Ｐゴシック" w:cs="ＭＳ ゴシック" w:hint="eastAsia"/>
          <w:sz w:val="28"/>
          <w:szCs w:val="28"/>
        </w:rPr>
        <w:lastRenderedPageBreak/>
        <w:t>はじめに</w:t>
      </w:r>
    </w:p>
    <w:p w:rsidR="008D5FFC" w:rsidRPr="00870B6B" w:rsidRDefault="008D5FFC" w:rsidP="00FB226F">
      <w:pPr>
        <w:spacing w:line="360" w:lineRule="exact"/>
      </w:pPr>
    </w:p>
    <w:p w:rsidR="00152CCF" w:rsidRDefault="009E1CE0" w:rsidP="00FB226F">
      <w:pPr>
        <w:topLinePunct/>
        <w:spacing w:line="360" w:lineRule="exact"/>
        <w:ind w:firstLineChars="100" w:firstLine="200"/>
      </w:pPr>
      <w:r>
        <w:rPr>
          <w:rFonts w:hint="eastAsia"/>
        </w:rPr>
        <w:t>この資料は，令和</w:t>
      </w:r>
      <w:r>
        <w:t>3</w:t>
      </w:r>
      <w:r>
        <w:t>年度版『現代の国語』をご使用いただくにあたり，年間学習指導計画を作成される際の参考資料として作成いたしました。教材ごとの配当時数，主な学習活動，評価規準などをご提案するものです。</w:t>
      </w:r>
      <w:r w:rsidR="00152CCF">
        <w:rPr>
          <w:rFonts w:hint="eastAsia"/>
        </w:rPr>
        <w:t>学習指導要領の目標や内容</w:t>
      </w:r>
      <w:r w:rsidR="00544DB7">
        <w:rPr>
          <w:rFonts w:hint="eastAsia"/>
        </w:rPr>
        <w:t>，</w:t>
      </w:r>
      <w:r w:rsidR="00152CCF">
        <w:rPr>
          <w:rFonts w:hint="eastAsia"/>
        </w:rPr>
        <w:t>その考え方をふまえ，地域や学校の状況に応じて本資料をご活用くださいますようお願い申し上げます。</w:t>
      </w:r>
    </w:p>
    <w:p w:rsidR="00E56170" w:rsidRPr="00870B6B" w:rsidRDefault="00E56170" w:rsidP="00E56170">
      <w:pPr>
        <w:spacing w:line="360" w:lineRule="exact"/>
      </w:pPr>
    </w:p>
    <w:p w:rsidR="00E56170" w:rsidRPr="002C0CE1" w:rsidRDefault="00E56170" w:rsidP="00E56170">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1" locked="0" layoutInCell="1" allowOverlap="1" wp14:anchorId="61DEB14B" wp14:editId="37447F49">
                <wp:simplePos x="0" y="0"/>
                <wp:positionH relativeFrom="column">
                  <wp:align>center</wp:align>
                </wp:positionH>
                <wp:positionV relativeFrom="paragraph">
                  <wp:posOffset>161925</wp:posOffset>
                </wp:positionV>
                <wp:extent cx="6264000" cy="0"/>
                <wp:effectExtent l="0" t="38100" r="41910" b="38100"/>
                <wp:wrapNone/>
                <wp:docPr id="15" name="直線コネクタ 1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A85423" id="直線コネクタ 15"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" strokecolor="#bfbfbf" strokeweight="6pt">
                <v:stroke joinstyle="miter"/>
              </v:line>
            </w:pict>
          </mc:Fallback>
        </mc:AlternateContent>
      </w:r>
      <w:r w:rsidRPr="002C0CE1">
        <w:rPr>
          <w:rFonts w:ascii="ＭＳ ゴシック" w:eastAsia="ＭＳ ゴシック" w:hAnsi="ＭＳ ゴシック" w:hint="eastAsia"/>
          <w:sz w:val="24"/>
        </w:rPr>
        <w:t>配当時数</w:t>
      </w:r>
    </w:p>
    <w:p w:rsidR="00970CA0" w:rsidRDefault="00544DB7" w:rsidP="00FB226F">
      <w:pPr>
        <w:topLinePunct/>
        <w:spacing w:line="360" w:lineRule="exact"/>
        <w:ind w:firstLineChars="100" w:firstLine="200"/>
        <w:rPr>
          <w:szCs w:val="21"/>
        </w:rPr>
      </w:pPr>
      <w:r w:rsidRPr="00970CA0">
        <w:rPr>
          <w:rFonts w:hint="eastAsia"/>
          <w:szCs w:val="21"/>
        </w:rPr>
        <w:t>学習指導要領に示された</w:t>
      </w:r>
      <w:r w:rsidR="00970CA0" w:rsidRPr="00970CA0">
        <w:rPr>
          <w:rFonts w:hint="eastAsia"/>
          <w:szCs w:val="21"/>
        </w:rPr>
        <w:t>時数に基づき，年間の総授業時数は，</w:t>
      </w:r>
      <w:r w:rsidR="00970CA0" w:rsidRPr="00970CA0">
        <w:rPr>
          <w:szCs w:val="21"/>
        </w:rPr>
        <w:t>1</w:t>
      </w:r>
      <w:r w:rsidR="00970CA0" w:rsidRPr="00970CA0">
        <w:rPr>
          <w:rFonts w:hint="eastAsia"/>
          <w:szCs w:val="21"/>
        </w:rPr>
        <w:t>年・</w:t>
      </w:r>
      <w:r w:rsidR="00970CA0" w:rsidRPr="00970CA0">
        <w:rPr>
          <w:szCs w:val="21"/>
        </w:rPr>
        <w:t>2</w:t>
      </w:r>
      <w:r w:rsidR="00970CA0" w:rsidRPr="00970CA0">
        <w:rPr>
          <w:rFonts w:hint="eastAsia"/>
          <w:szCs w:val="21"/>
        </w:rPr>
        <w:t>年</w:t>
      </w:r>
      <w:r w:rsidR="00970CA0" w:rsidRPr="00970CA0">
        <w:rPr>
          <w:szCs w:val="21"/>
        </w:rPr>
        <w:t>140</w:t>
      </w:r>
      <w:r w:rsidR="00970CA0" w:rsidRPr="00970CA0">
        <w:rPr>
          <w:rFonts w:hint="eastAsia"/>
          <w:szCs w:val="21"/>
        </w:rPr>
        <w:t>時間（週</w:t>
      </w:r>
      <w:r w:rsidR="00970CA0" w:rsidRPr="00970CA0">
        <w:rPr>
          <w:szCs w:val="21"/>
        </w:rPr>
        <w:t>4</w:t>
      </w:r>
      <w:r w:rsidR="00970CA0" w:rsidRPr="00970CA0">
        <w:rPr>
          <w:rFonts w:hint="eastAsia"/>
          <w:szCs w:val="21"/>
        </w:rPr>
        <w:t>時間），</w:t>
      </w:r>
      <w:r w:rsidR="00970CA0" w:rsidRPr="00970CA0">
        <w:rPr>
          <w:szCs w:val="21"/>
        </w:rPr>
        <w:t>3</w:t>
      </w:r>
      <w:r w:rsidR="00970CA0" w:rsidRPr="00970CA0">
        <w:rPr>
          <w:rFonts w:hint="eastAsia"/>
          <w:szCs w:val="21"/>
        </w:rPr>
        <w:t>年</w:t>
      </w:r>
      <w:r w:rsidR="00970CA0" w:rsidRPr="00970CA0">
        <w:rPr>
          <w:szCs w:val="21"/>
        </w:rPr>
        <w:t>105</w:t>
      </w:r>
      <w:r w:rsidR="00970CA0" w:rsidRPr="00970CA0">
        <w:rPr>
          <w:rFonts w:hint="eastAsia"/>
          <w:szCs w:val="21"/>
        </w:rPr>
        <w:t>時間（週</w:t>
      </w:r>
      <w:r w:rsidR="00970CA0" w:rsidRPr="00970CA0">
        <w:rPr>
          <w:szCs w:val="21"/>
        </w:rPr>
        <w:t>3</w:t>
      </w:r>
      <w:r w:rsidR="00970CA0" w:rsidRPr="00970CA0">
        <w:rPr>
          <w:rFonts w:hint="eastAsia"/>
          <w:szCs w:val="21"/>
        </w:rPr>
        <w:t>時間）としました。各領域・事項の配当授業時数は，編成上の目安として，次</w:t>
      </w:r>
      <w:r w:rsidR="00923F86">
        <w:rPr>
          <w:rFonts w:hint="eastAsia"/>
          <w:szCs w:val="21"/>
        </w:rPr>
        <w:t>のように想定し，教科書の本編教材において配当しました。なお，「読書の広場」「資料編」については，学習指導の中で適宜ご活用いただくことを想定し，個別での時数配当を行っておりません。</w:t>
      </w:r>
    </w:p>
    <w:p w:rsidR="00970CA0" w:rsidRPr="00970CA0" w:rsidRDefault="00970CA0" w:rsidP="00FB226F">
      <w:pPr>
        <w:topLinePunct/>
        <w:spacing w:line="360" w:lineRule="exact"/>
        <w:ind w:firstLineChars="100" w:firstLine="200"/>
        <w:rPr>
          <w:szCs w:val="21"/>
        </w:rPr>
      </w:pP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871"/>
        <w:gridCol w:w="1871"/>
        <w:gridCol w:w="1871"/>
      </w:tblGrid>
      <w:tr w:rsidR="00970CA0" w:rsidRPr="00DB5AFB" w:rsidTr="003756D0">
        <w:trPr>
          <w:trHeight w:hRule="exact" w:val="510"/>
          <w:jc w:val="center"/>
        </w:trPr>
        <w:tc>
          <w:tcPr>
            <w:tcW w:w="2211" w:type="dxa"/>
            <w:tcBorders>
              <w:top w:val="nil"/>
              <w:left w:val="nil"/>
              <w:bottom w:val="single" w:sz="4" w:space="0" w:color="000000"/>
              <w:right w:val="single" w:sz="4" w:space="0" w:color="000000"/>
            </w:tcBorders>
            <w:shd w:val="clear" w:color="auto" w:fill="auto"/>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ゴシック" w:eastAsia="ＭＳ ゴシック" w:hAnsi="ＭＳ ゴシック"/>
                <w:szCs w:val="18"/>
              </w:rPr>
            </w:pP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140</w:t>
            </w:r>
            <w:r w:rsidRPr="00870B6B">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000000"/>
              <w:bottom w:val="single" w:sz="4" w:space="0" w:color="000000"/>
              <w:right w:val="single" w:sz="4" w:space="0" w:color="auto"/>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2</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140</w:t>
            </w:r>
            <w:r w:rsidRPr="00870B6B">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auto"/>
              <w:bottom w:val="single" w:sz="4" w:space="0" w:color="000000"/>
              <w:right w:val="single" w:sz="4" w:space="0" w:color="000000"/>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3</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105</w:t>
            </w:r>
            <w:r w:rsidRPr="00870B6B">
              <w:rPr>
                <w:rFonts w:ascii="ＭＳ Ｐゴシック" w:eastAsia="ＭＳ Ｐゴシック" w:hAnsi="ＭＳ Ｐゴシック" w:cs="ＭＳ 明朝" w:hint="eastAsia"/>
                <w:color w:val="FFFFFF" w:themeColor="background1"/>
                <w:szCs w:val="18"/>
              </w:rPr>
              <w:t>）</w:t>
            </w:r>
          </w:p>
        </w:tc>
      </w:tr>
      <w:tr w:rsidR="00970CA0" w:rsidRPr="00DB5AFB" w:rsidTr="003756D0">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話す・聞く</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16</w:t>
            </w:r>
            <w:r w:rsidRPr="00870B6B">
              <w:rPr>
                <w:rFonts w:cs="ＭＳ 明朝" w:hint="eastAsia"/>
                <w:szCs w:val="18"/>
              </w:rPr>
              <w:t>（</w:t>
            </w:r>
            <w:r w:rsidRPr="00870B6B">
              <w:rPr>
                <w:szCs w:val="18"/>
              </w:rPr>
              <w:t>15</w:t>
            </w:r>
            <w:r w:rsidRPr="00870B6B">
              <w:rPr>
                <w:rFonts w:cs="ＭＳ 明朝" w:hint="eastAsia"/>
                <w:szCs w:val="18"/>
              </w:rPr>
              <w:t>～</w:t>
            </w:r>
            <w:r w:rsidRPr="00870B6B">
              <w:rPr>
                <w:szCs w:val="18"/>
              </w:rPr>
              <w:t>25</w:t>
            </w:r>
            <w:r w:rsidRPr="00870B6B">
              <w:rPr>
                <w:rFonts w:cs="ＭＳ 明朝" w:hint="eastAsia"/>
                <w:szCs w:val="18"/>
              </w:rPr>
              <w:t>）</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16</w:t>
            </w:r>
            <w:r w:rsidRPr="00870B6B">
              <w:rPr>
                <w:rFonts w:cs="ＭＳ 明朝" w:hint="eastAsia"/>
                <w:szCs w:val="18"/>
              </w:rPr>
              <w:t>（</w:t>
            </w:r>
            <w:r w:rsidRPr="00870B6B">
              <w:rPr>
                <w:szCs w:val="18"/>
              </w:rPr>
              <w:t>15</w:t>
            </w:r>
            <w:r w:rsidRPr="00870B6B">
              <w:rPr>
                <w:rFonts w:cs="ＭＳ 明朝" w:hint="eastAsia"/>
                <w:szCs w:val="18"/>
              </w:rPr>
              <w:t>～</w:t>
            </w:r>
            <w:r w:rsidRPr="00870B6B">
              <w:rPr>
                <w:szCs w:val="18"/>
              </w:rPr>
              <w:t>25</w:t>
            </w:r>
            <w:r w:rsidRPr="00870B6B">
              <w:rPr>
                <w:rFonts w:cs="ＭＳ 明朝" w:hint="eastAsia"/>
                <w:szCs w:val="18"/>
              </w:rPr>
              <w:t>）</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14</w:t>
            </w:r>
            <w:r w:rsidRPr="00870B6B">
              <w:rPr>
                <w:rFonts w:cs="ＭＳ 明朝" w:hint="eastAsia"/>
                <w:szCs w:val="18"/>
              </w:rPr>
              <w:t>（</w:t>
            </w:r>
            <w:r w:rsidRPr="00870B6B">
              <w:rPr>
                <w:szCs w:val="18"/>
              </w:rPr>
              <w:t>10</w:t>
            </w:r>
            <w:r w:rsidRPr="00870B6B">
              <w:rPr>
                <w:rFonts w:cs="ＭＳ 明朝" w:hint="eastAsia"/>
                <w:szCs w:val="18"/>
              </w:rPr>
              <w:t>～</w:t>
            </w:r>
            <w:r w:rsidRPr="00870B6B">
              <w:rPr>
                <w:rFonts w:cs="ＭＳ 明朝"/>
                <w:szCs w:val="18"/>
              </w:rPr>
              <w:t>20</w:t>
            </w:r>
            <w:r w:rsidRPr="00870B6B">
              <w:rPr>
                <w:rFonts w:cs="ＭＳ 明朝" w:hint="eastAsia"/>
                <w:szCs w:val="18"/>
              </w:rPr>
              <w:t>）</w:t>
            </w:r>
          </w:p>
        </w:tc>
      </w:tr>
      <w:tr w:rsidR="00970CA0" w:rsidRPr="00DB5AFB" w:rsidTr="003756D0">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書く</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30</w:t>
            </w:r>
            <w:r w:rsidRPr="00870B6B">
              <w:rPr>
                <w:rFonts w:cs="ＭＳ 明朝" w:hint="eastAsia"/>
                <w:szCs w:val="18"/>
              </w:rPr>
              <w:t>（</w:t>
            </w:r>
            <w:r w:rsidRPr="00870B6B">
              <w:rPr>
                <w:szCs w:val="18"/>
              </w:rPr>
              <w:t>30</w:t>
            </w:r>
            <w:r w:rsidRPr="00870B6B">
              <w:rPr>
                <w:rFonts w:cs="ＭＳ 明朝" w:hint="eastAsia"/>
                <w:szCs w:val="18"/>
              </w:rPr>
              <w:t>～</w:t>
            </w:r>
            <w:r w:rsidRPr="00870B6B">
              <w:rPr>
                <w:szCs w:val="18"/>
              </w:rPr>
              <w:t>40</w:t>
            </w:r>
            <w:r w:rsidRPr="00870B6B">
              <w:rPr>
                <w:rFonts w:cs="ＭＳ 明朝" w:hint="eastAsia"/>
                <w:szCs w:val="18"/>
              </w:rPr>
              <w:t>）</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30</w:t>
            </w:r>
            <w:r w:rsidRPr="00870B6B">
              <w:rPr>
                <w:rFonts w:cs="ＭＳ 明朝" w:hint="eastAsia"/>
                <w:szCs w:val="18"/>
              </w:rPr>
              <w:t>（</w:t>
            </w:r>
            <w:r w:rsidRPr="00870B6B">
              <w:rPr>
                <w:szCs w:val="18"/>
              </w:rPr>
              <w:t>30</w:t>
            </w:r>
            <w:r w:rsidRPr="00870B6B">
              <w:rPr>
                <w:rFonts w:cs="ＭＳ 明朝" w:hint="eastAsia"/>
                <w:szCs w:val="18"/>
              </w:rPr>
              <w:t>～</w:t>
            </w:r>
            <w:r w:rsidRPr="00870B6B">
              <w:rPr>
                <w:szCs w:val="18"/>
              </w:rPr>
              <w:t>40</w:t>
            </w:r>
            <w:r w:rsidRPr="00870B6B">
              <w:rPr>
                <w:rFonts w:cs="ＭＳ 明朝" w:hint="eastAsia"/>
                <w:szCs w:val="18"/>
              </w:rPr>
              <w:t>）</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20</w:t>
            </w:r>
            <w:r w:rsidRPr="00870B6B">
              <w:rPr>
                <w:rFonts w:cs="ＭＳ 明朝" w:hint="eastAsia"/>
                <w:szCs w:val="18"/>
              </w:rPr>
              <w:t>（</w:t>
            </w:r>
            <w:r w:rsidRPr="00870B6B">
              <w:rPr>
                <w:szCs w:val="18"/>
              </w:rPr>
              <w:t>20</w:t>
            </w:r>
            <w:r w:rsidRPr="00870B6B">
              <w:rPr>
                <w:rFonts w:cs="ＭＳ 明朝" w:hint="eastAsia"/>
                <w:szCs w:val="18"/>
              </w:rPr>
              <w:t>～</w:t>
            </w:r>
            <w:r w:rsidRPr="00870B6B">
              <w:rPr>
                <w:szCs w:val="18"/>
              </w:rPr>
              <w:t>30</w:t>
            </w:r>
            <w:r w:rsidRPr="00870B6B">
              <w:rPr>
                <w:rFonts w:cs="ＭＳ 明朝" w:hint="eastAsia"/>
                <w:szCs w:val="18"/>
              </w:rPr>
              <w:t>）</w:t>
            </w:r>
          </w:p>
        </w:tc>
      </w:tr>
      <w:tr w:rsidR="00970CA0" w:rsidRPr="00DB5AFB" w:rsidTr="003756D0">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読む</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5</w:t>
            </w:r>
            <w:bookmarkStart w:id="0" w:name="_GoBack"/>
            <w:bookmarkEnd w:id="0"/>
            <w:r w:rsidRPr="00870B6B">
              <w:rPr>
                <w:szCs w:val="18"/>
              </w:rPr>
              <w:t>1</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53</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45</w:t>
            </w:r>
          </w:p>
        </w:tc>
      </w:tr>
      <w:tr w:rsidR="00970CA0" w:rsidRPr="00DB5AFB" w:rsidTr="003756D0">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hint="eastAsia"/>
                <w:szCs w:val="18"/>
              </w:rPr>
              <w:t>言葉の特徴や使い方</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23</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21</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16</w:t>
            </w:r>
          </w:p>
        </w:tc>
      </w:tr>
      <w:tr w:rsidR="00970CA0" w:rsidRPr="00DB5AFB" w:rsidTr="003756D0">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ゴシック" w:hint="eastAsia"/>
                <w:color w:val="FFFFFF" w:themeColor="background1"/>
                <w:szCs w:val="18"/>
              </w:rPr>
              <w:t>小計</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120</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120</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95</w:t>
            </w:r>
          </w:p>
        </w:tc>
      </w:tr>
      <w:tr w:rsidR="00970CA0" w:rsidRPr="00DB5AFB" w:rsidTr="003756D0">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s="ＭＳ 明朝"/>
                <w:szCs w:val="18"/>
              </w:rPr>
            </w:pPr>
            <w:r w:rsidRPr="00870B6B">
              <w:rPr>
                <w:rFonts w:ascii="ＭＳ Ｐゴシック" w:eastAsia="ＭＳ Ｐゴシック" w:hAnsi="ＭＳ Ｐゴシック" w:cs="ＭＳ 明朝" w:hint="eastAsia"/>
                <w:szCs w:val="18"/>
              </w:rPr>
              <w:t>書写</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20</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20</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10</w:t>
            </w:r>
          </w:p>
        </w:tc>
      </w:tr>
      <w:tr w:rsidR="00970CA0" w:rsidRPr="00DB5AFB" w:rsidTr="007A6598">
        <w:trPr>
          <w:trHeight w:hRule="exact" w:val="34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s="ＭＳ ゴシック" w:hint="eastAsia"/>
                <w:color w:val="FFFFFF" w:themeColor="background1"/>
                <w:szCs w:val="18"/>
              </w:rPr>
              <w:t>総授業時数</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140</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140</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105</w:t>
            </w:r>
          </w:p>
        </w:tc>
      </w:tr>
    </w:tbl>
    <w:p w:rsidR="00B87448" w:rsidRPr="00870B6B" w:rsidRDefault="00970CA0" w:rsidP="00FB226F">
      <w:pPr>
        <w:overflowPunct w:val="0"/>
        <w:topLinePunct/>
        <w:snapToGrid w:val="0"/>
        <w:spacing w:line="360" w:lineRule="exact"/>
        <w:ind w:leftChars="2200" w:left="4400"/>
        <w:jc w:val="left"/>
        <w:rPr>
          <w:rFonts w:cs="ＭＳ 明朝"/>
          <w:sz w:val="18"/>
          <w:szCs w:val="16"/>
        </w:rPr>
      </w:pPr>
      <w:r w:rsidRPr="00870B6B">
        <w:rPr>
          <w:rFonts w:cs="ＭＳ 明朝" w:hint="eastAsia"/>
          <w:sz w:val="18"/>
          <w:szCs w:val="16"/>
        </w:rPr>
        <w:t>※（　）内の数字は，学習指導要領に示された時数です。</w:t>
      </w:r>
    </w:p>
    <w:p w:rsidR="00870B6B" w:rsidRPr="00870B6B" w:rsidRDefault="00870B6B" w:rsidP="00FB226F">
      <w:pPr>
        <w:spacing w:line="360" w:lineRule="exact"/>
      </w:pPr>
    </w:p>
    <w:p w:rsidR="008D5FFC" w:rsidRPr="002C0CE1" w:rsidRDefault="003A1D51"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161925</wp:posOffset>
                </wp:positionV>
                <wp:extent cx="6264000" cy="0"/>
                <wp:effectExtent l="0" t="38100" r="41910" b="3810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w="762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F00B5" id="直線コネクタ 1"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" strokecolor="#bfbfbf [2412]" strokeweight="6pt">
                <v:stroke joinstyle="miter"/>
              </v:line>
            </w:pict>
          </mc:Fallback>
        </mc:AlternateContent>
      </w:r>
      <w:r w:rsidR="008D5FFC" w:rsidRPr="002C0CE1">
        <w:rPr>
          <w:rFonts w:ascii="ＭＳ ゴシック" w:eastAsia="ＭＳ ゴシック" w:hAnsi="ＭＳ ゴシック" w:hint="eastAsia"/>
          <w:sz w:val="24"/>
        </w:rPr>
        <w:t>学習目標</w:t>
      </w:r>
    </w:p>
    <w:p w:rsidR="00152CCF" w:rsidRDefault="00152CCF" w:rsidP="00FB226F">
      <w:pPr>
        <w:topLinePunct/>
        <w:spacing w:line="360" w:lineRule="exact"/>
        <w:ind w:firstLineChars="100" w:firstLine="200"/>
      </w:pPr>
      <w:r>
        <w:rPr>
          <w:rFonts w:hint="eastAsia"/>
        </w:rPr>
        <w:t>「学習目標」の欄には，教科書の各教材冒頭部に示した「目標」を示しつつ，対応する学習指導要領の指導事項の記号（略</w:t>
      </w:r>
      <w:r w:rsidR="00DB0F79">
        <w:rPr>
          <w:rFonts w:hint="eastAsia"/>
        </w:rPr>
        <w:t>号</w:t>
      </w:r>
      <w:r>
        <w:rPr>
          <w:rFonts w:hint="eastAsia"/>
        </w:rPr>
        <w:t>）を示しました。また，「言葉発見」</w:t>
      </w:r>
      <w:r w:rsidR="00E30308">
        <w:rPr>
          <w:rFonts w:hint="eastAsia"/>
        </w:rPr>
        <w:t>「漢字のしくみ」「文法の窓」</w:t>
      </w:r>
      <w:r>
        <w:rPr>
          <w:rFonts w:hint="eastAsia"/>
        </w:rPr>
        <w:t>「漢字を身につけよう」</w:t>
      </w:r>
      <w:r w:rsidR="00E30308">
        <w:rPr>
          <w:rFonts w:hint="eastAsia"/>
        </w:rPr>
        <w:t>「私の読書体験」</w:t>
      </w:r>
      <w:r>
        <w:rPr>
          <w:rFonts w:hint="eastAsia"/>
        </w:rPr>
        <w:t>といった小教材には，教科書教材の冒頭部に「目標」を明示していないものも</w:t>
      </w:r>
      <w:r w:rsidRPr="00970CA0">
        <w:rPr>
          <w:rFonts w:hint="eastAsia"/>
        </w:rPr>
        <w:t>含まれておりますが，</w:t>
      </w:r>
      <w:r w:rsidR="00970CA0" w:rsidRPr="00970CA0">
        <w:rPr>
          <w:rFonts w:hint="eastAsia"/>
        </w:rPr>
        <w:t>当該教材の学習内容，育成を目指す資質・能力に基づき，</w:t>
      </w:r>
      <w:r w:rsidRPr="00970CA0">
        <w:rPr>
          <w:rFonts w:hint="eastAsia"/>
        </w:rPr>
        <w:t>他教材と同様に「学習目標」を示しています。</w:t>
      </w:r>
    </w:p>
    <w:p w:rsidR="007C4514" w:rsidRPr="00870B6B" w:rsidRDefault="007C4514" w:rsidP="00FB226F">
      <w:pPr>
        <w:spacing w:line="360" w:lineRule="exact"/>
      </w:pP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1" locked="0" layoutInCell="1" allowOverlap="1" wp14:anchorId="3E2E02C0" wp14:editId="062C4284">
                <wp:simplePos x="0" y="0"/>
                <wp:positionH relativeFrom="column">
                  <wp:align>center</wp:align>
                </wp:positionH>
                <wp:positionV relativeFrom="paragraph">
                  <wp:posOffset>161925</wp:posOffset>
                </wp:positionV>
                <wp:extent cx="6264000" cy="0"/>
                <wp:effectExtent l="0" t="38100" r="41910" b="38100"/>
                <wp:wrapNone/>
                <wp:docPr id="5" name="直線コネクタ 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970052" id="直線コネクタ 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" strokecolor="#bfbfbf" strokeweight="6pt">
                <v:stroke joinstyle="miter"/>
              </v:line>
            </w:pict>
          </mc:Fallback>
        </mc:AlternateContent>
      </w:r>
      <w:r w:rsidRPr="002C0CE1">
        <w:rPr>
          <w:rFonts w:ascii="ＭＳ ゴシック" w:eastAsia="ＭＳ ゴシック" w:hAnsi="ＭＳ ゴシック" w:hint="eastAsia"/>
          <w:sz w:val="24"/>
        </w:rPr>
        <w:t>主な学習活動</w:t>
      </w:r>
    </w:p>
    <w:p w:rsidR="00152CCF" w:rsidRDefault="008D5FFC" w:rsidP="00FB226F">
      <w:pPr>
        <w:topLinePunct/>
        <w:spacing w:line="360" w:lineRule="exact"/>
        <w:ind w:firstLineChars="100" w:firstLine="200"/>
      </w:pPr>
      <w:r>
        <w:rPr>
          <w:rFonts w:hint="eastAsia"/>
        </w:rPr>
        <w:t>「主な学習活動」の欄には，</w:t>
      </w:r>
      <w:r w:rsidR="00970CA0">
        <w:rPr>
          <w:rFonts w:hint="eastAsia"/>
        </w:rPr>
        <w:t>学習の「見通し」～「振り返り」までの主な学習活動を，想定する授業時数に即して示しました。</w:t>
      </w:r>
      <w:r w:rsidR="00B87448">
        <w:rPr>
          <w:rFonts w:hint="eastAsia"/>
        </w:rPr>
        <w:t>また</w:t>
      </w:r>
      <w:r w:rsidR="00923F86">
        <w:rPr>
          <w:rFonts w:hint="eastAsia"/>
        </w:rPr>
        <w:t>，教科書において</w:t>
      </w:r>
      <w:r w:rsidR="00B87448">
        <w:rPr>
          <w:rFonts w:hint="eastAsia"/>
        </w:rPr>
        <w:t>関連</w:t>
      </w:r>
      <w:r w:rsidR="00923F86">
        <w:rPr>
          <w:rFonts w:hint="eastAsia"/>
        </w:rPr>
        <w:t>して学べるページ（読書の広場・資料編）を示した箇所には，「→」で関連する教材名を示しました。</w:t>
      </w:r>
    </w:p>
    <w:p w:rsidR="003756D0" w:rsidRDefault="003756D0">
      <w:r>
        <w:br w:type="page"/>
      </w: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1" locked="0" layoutInCell="1" allowOverlap="1" wp14:anchorId="3E2E02C0" wp14:editId="062C4284">
                <wp:simplePos x="0" y="0"/>
                <wp:positionH relativeFrom="column">
                  <wp:align>center</wp:align>
                </wp:positionH>
                <wp:positionV relativeFrom="paragraph">
                  <wp:posOffset>161925</wp:posOffset>
                </wp:positionV>
                <wp:extent cx="6264000" cy="0"/>
                <wp:effectExtent l="0" t="38100" r="41910" b="38100"/>
                <wp:wrapNone/>
                <wp:docPr id="6" name="直線コネクタ 6"/>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3FFDFA" id="直線コネクタ 6"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" strokecolor="#bfbfbf" strokeweight="6pt">
                <v:stroke joinstyle="miter"/>
              </v:line>
            </w:pict>
          </mc:Fallback>
        </mc:AlternateContent>
      </w:r>
      <w:r w:rsidRPr="002C0CE1">
        <w:rPr>
          <w:rFonts w:ascii="ＭＳ ゴシック" w:eastAsia="ＭＳ ゴシック" w:hAnsi="ＭＳ ゴシック" w:hint="eastAsia"/>
          <w:sz w:val="24"/>
        </w:rPr>
        <w:t>評価規準</w:t>
      </w:r>
    </w:p>
    <w:p w:rsidR="009E1CE0" w:rsidRDefault="009E1CE0" w:rsidP="00FB226F">
      <w:pPr>
        <w:topLinePunct/>
        <w:spacing w:line="360" w:lineRule="exact"/>
        <w:ind w:firstLineChars="100" w:firstLine="200"/>
      </w:pPr>
      <w:r>
        <w:rPr>
          <w:rFonts w:hint="eastAsia"/>
        </w:rPr>
        <w:t>平成</w:t>
      </w:r>
      <w:r>
        <w:t>29</w:t>
      </w:r>
      <w:r>
        <w:t>年改訂の学習指導要領では，全ての教科等の目標・内容が，「知識及び技能」，「思考力，判断力，表現力等」，「学びに向かう力，人間性等」という，育成を目指す資質・能力の三つの柱として整理されました。各教科の学習評価においても，学習指導要領に定める目標に準拠した評価として行われ，次の</w:t>
      </w:r>
      <w:r w:rsidR="002C0CE1">
        <w:rPr>
          <w:rFonts w:hint="eastAsia"/>
        </w:rPr>
        <w:t>3</w:t>
      </w:r>
      <w:r>
        <w:t>観点による評価を行うこととなります。</w:t>
      </w:r>
    </w:p>
    <w:p w:rsidR="009E1CE0" w:rsidRDefault="00E56170" w:rsidP="00FB226F">
      <w:pPr>
        <w:topLinePunct/>
        <w:spacing w:beforeLines="50" w:before="140" w:line="360" w:lineRule="exact"/>
        <w:ind w:leftChars="100" w:left="200"/>
      </w:pPr>
      <w:r w:rsidRPr="00E56170">
        <w:rPr>
          <w:rFonts w:ascii="ＭＳ ゴシック" w:eastAsia="ＭＳ ゴシック" w:hAnsi="ＭＳ ゴシック" w:hint="eastAsia"/>
          <w:b/>
          <w:color w:val="595959" w:themeColor="text1" w:themeTint="A6"/>
        </w:rPr>
        <w:t>①</w:t>
      </w:r>
      <w:r w:rsidR="009E1CE0">
        <w:rPr>
          <w:rFonts w:hint="eastAsia"/>
        </w:rPr>
        <w:t>「知識・技能」</w:t>
      </w:r>
    </w:p>
    <w:p w:rsidR="009E1CE0" w:rsidRDefault="00E56170" w:rsidP="00FB226F">
      <w:pPr>
        <w:topLinePunct/>
        <w:spacing w:line="360" w:lineRule="exact"/>
        <w:ind w:leftChars="100" w:left="200"/>
      </w:pPr>
      <w:r w:rsidRPr="00E56170">
        <w:rPr>
          <w:rFonts w:ascii="ＭＳ ゴシック" w:eastAsia="ＭＳ ゴシック" w:hAnsi="ＭＳ ゴシック" w:hint="eastAsia"/>
          <w:b/>
          <w:color w:val="595959" w:themeColor="text1" w:themeTint="A6"/>
        </w:rPr>
        <w:t>②</w:t>
      </w:r>
      <w:r w:rsidR="009E1CE0">
        <w:rPr>
          <w:rFonts w:hint="eastAsia"/>
        </w:rPr>
        <w:t>「思考・判断・表現」</w:t>
      </w:r>
    </w:p>
    <w:p w:rsidR="009E1CE0" w:rsidRDefault="00E56170" w:rsidP="00E56170">
      <w:pPr>
        <w:topLinePunct/>
        <w:spacing w:afterLines="50" w:after="140" w:line="360" w:lineRule="exact"/>
        <w:ind w:leftChars="100" w:left="200"/>
      </w:pPr>
      <w:r w:rsidRPr="00E56170">
        <w:rPr>
          <w:rFonts w:ascii="ＭＳ ゴシック" w:eastAsia="ＭＳ ゴシック" w:hAnsi="ＭＳ ゴシック" w:hint="eastAsia"/>
          <w:b/>
          <w:color w:val="595959" w:themeColor="text1" w:themeTint="A6"/>
        </w:rPr>
        <w:t>③</w:t>
      </w:r>
      <w:r w:rsidR="009E1CE0">
        <w:rPr>
          <w:rFonts w:hint="eastAsia"/>
        </w:rPr>
        <w:t>「主体的に学習に取り組む態度」</w:t>
      </w:r>
    </w:p>
    <w:p w:rsidR="00970CA0" w:rsidRPr="0033118F" w:rsidRDefault="007B1645" w:rsidP="00FB226F">
      <w:pPr>
        <w:topLinePunct/>
        <w:spacing w:line="360" w:lineRule="exact"/>
        <w:ind w:firstLineChars="100" w:firstLine="200"/>
      </w:pPr>
      <w:r w:rsidRPr="007B1645">
        <w:rPr>
          <w:rFonts w:hint="eastAsia"/>
        </w:rPr>
        <w:t>「知識・技能」及び「思考・判断・表現」の評価規準</w:t>
      </w:r>
      <w:r w:rsidR="0033118F">
        <w:rPr>
          <w:rFonts w:hint="eastAsia"/>
        </w:rPr>
        <w:t>について</w:t>
      </w:r>
      <w:r w:rsidRPr="007B1645">
        <w:rPr>
          <w:rFonts w:hint="eastAsia"/>
        </w:rPr>
        <w:t>は，</w:t>
      </w:r>
      <w:r w:rsidR="00B87448">
        <w:rPr>
          <w:rFonts w:hint="eastAsia"/>
        </w:rPr>
        <w:t>下記のように，</w:t>
      </w:r>
      <w:r w:rsidR="00970CA0">
        <w:rPr>
          <w:rFonts w:hint="eastAsia"/>
        </w:rPr>
        <w:t>学習指導要領の</w:t>
      </w:r>
      <w:r w:rsidRPr="007B1645">
        <w:rPr>
          <w:rFonts w:hint="eastAsia"/>
        </w:rPr>
        <w:t>指導事項</w:t>
      </w:r>
      <w:r w:rsidR="0033118F">
        <w:rPr>
          <w:rFonts w:hint="eastAsia"/>
        </w:rPr>
        <w:t>の文言をそのまま用い，文末を「～している。」として示し</w:t>
      </w:r>
      <w:r w:rsidR="00970CA0">
        <w:rPr>
          <w:rFonts w:hint="eastAsia"/>
        </w:rPr>
        <w:t>てい</w:t>
      </w:r>
      <w:r w:rsidR="0033118F">
        <w:rPr>
          <w:rFonts w:hint="eastAsia"/>
        </w:rPr>
        <w:t>ます。</w:t>
      </w:r>
      <w:r w:rsidRPr="007B1645">
        <w:rPr>
          <w:rFonts w:hint="eastAsia"/>
        </w:rPr>
        <w:t>ただし，育成したい資質・能力に</w:t>
      </w:r>
      <w:r w:rsidR="0033118F">
        <w:rPr>
          <w:rFonts w:hint="eastAsia"/>
        </w:rPr>
        <w:t>照らして，指導事項の一部を用いて評価規準を作成</w:t>
      </w:r>
      <w:r w:rsidR="00970CA0">
        <w:rPr>
          <w:rFonts w:hint="eastAsia"/>
        </w:rPr>
        <w:t>していること</w:t>
      </w:r>
      <w:r w:rsidR="0033118F">
        <w:rPr>
          <w:rFonts w:hint="eastAsia"/>
        </w:rPr>
        <w:t>もあります。</w:t>
      </w:r>
    </w:p>
    <w:p w:rsidR="007B1645" w:rsidRDefault="00E56170" w:rsidP="00FB226F">
      <w:pPr>
        <w:topLinePunct/>
        <w:spacing w:beforeLines="50" w:before="140" w:line="360" w:lineRule="exact"/>
        <w:ind w:leftChars="100" w:left="501" w:hangingChars="150" w:hanging="301"/>
      </w:pPr>
      <w:r w:rsidRPr="00E56170">
        <w:rPr>
          <w:rFonts w:ascii="ＭＳ ゴシック" w:eastAsia="ＭＳ ゴシック" w:hAnsi="ＭＳ ゴシック" w:hint="eastAsia"/>
          <w:b/>
          <w:color w:val="595959" w:themeColor="text1" w:themeTint="A6"/>
        </w:rPr>
        <w:t>①</w:t>
      </w:r>
      <w:r w:rsidR="00B87448">
        <w:t>「知識・技能」の評価</w:t>
      </w:r>
      <w:r w:rsidR="00B87448">
        <w:rPr>
          <w:rFonts w:hint="eastAsia"/>
        </w:rPr>
        <w:t>：</w:t>
      </w:r>
      <w:r w:rsidR="007B1645">
        <w:t>社会生活</w:t>
      </w:r>
      <w:r w:rsidR="00834BF9">
        <w:t>に必要な国語について，その特質を理解し適切に使っているかどうか</w:t>
      </w:r>
      <w:r w:rsidR="00834BF9">
        <w:rPr>
          <w:rFonts w:hint="eastAsia"/>
        </w:rPr>
        <w:t>に関する</w:t>
      </w:r>
      <w:r w:rsidR="00834BF9">
        <w:t>評価</w:t>
      </w:r>
      <w:r w:rsidR="007B1645">
        <w:t>。各教材で育成を目指す資質・能力に該当する「知識及び技能」の指導事項の文末を「～している。」として</w:t>
      </w:r>
      <w:r w:rsidR="00152CCF">
        <w:rPr>
          <w:rFonts w:hint="eastAsia"/>
        </w:rPr>
        <w:t>示す</w:t>
      </w:r>
      <w:r w:rsidR="007B1645">
        <w:t>。</w:t>
      </w:r>
    </w:p>
    <w:p w:rsidR="007B1645" w:rsidRDefault="00E56170" w:rsidP="00FB226F">
      <w:pPr>
        <w:topLinePunct/>
        <w:spacing w:line="360" w:lineRule="exact"/>
        <w:ind w:leftChars="100" w:left="501" w:hangingChars="150" w:hanging="301"/>
      </w:pPr>
      <w:r w:rsidRPr="00E56170">
        <w:rPr>
          <w:rFonts w:ascii="ＭＳ ゴシック" w:eastAsia="ＭＳ ゴシック" w:hAnsi="ＭＳ ゴシック" w:hint="eastAsia"/>
          <w:b/>
          <w:color w:val="595959" w:themeColor="text1" w:themeTint="A6"/>
        </w:rPr>
        <w:t>②</w:t>
      </w:r>
      <w:r w:rsidR="00834BF9">
        <w:rPr>
          <w:rFonts w:hint="eastAsia"/>
        </w:rPr>
        <w:t>「</w:t>
      </w:r>
      <w:r w:rsidR="00B87448">
        <w:t>思考・判断・表現」の評価</w:t>
      </w:r>
      <w:r w:rsidR="00B87448">
        <w:rPr>
          <w:rFonts w:hint="eastAsia"/>
        </w:rPr>
        <w:t>：</w:t>
      </w:r>
      <w:r w:rsidR="007B1645">
        <w:t>「話すこと・聞くこと」，「書くこと」，「読むこと」の各領域において，社会生活における人との関わりの中で伝え合</w:t>
      </w:r>
      <w:r w:rsidR="00834BF9">
        <w:t>う力を高め，自分の思いや考えを広げたり深めたりしているかどうか</w:t>
      </w:r>
      <w:r w:rsidR="00834BF9">
        <w:rPr>
          <w:rFonts w:hint="eastAsia"/>
        </w:rPr>
        <w:t>に関する</w:t>
      </w:r>
      <w:r w:rsidR="00834BF9">
        <w:t>評価</w:t>
      </w:r>
      <w:r w:rsidR="007B1645">
        <w:t>。各教材で育成を目指す資質・能力に該</w:t>
      </w:r>
      <w:r w:rsidR="00834BF9">
        <w:t>当する「思考力，判断力，表現力等」の指導事項の冒頭に，</w:t>
      </w:r>
      <w:r w:rsidR="00834BF9">
        <w:rPr>
          <w:rFonts w:hint="eastAsia"/>
        </w:rPr>
        <w:t>領域を明示（</w:t>
      </w:r>
      <w:r w:rsidR="00834BF9">
        <w:t>「（領域名）において，」と明記</w:t>
      </w:r>
      <w:r w:rsidR="00834BF9">
        <w:rPr>
          <w:rFonts w:hint="eastAsia"/>
        </w:rPr>
        <w:t>）し</w:t>
      </w:r>
      <w:r w:rsidR="007B1645">
        <w:t>，文末を「～している。」として</w:t>
      </w:r>
      <w:r w:rsidR="00152CCF">
        <w:rPr>
          <w:rFonts w:hint="eastAsia"/>
        </w:rPr>
        <w:t>示す</w:t>
      </w:r>
      <w:r w:rsidR="007B1645">
        <w:t>。</w:t>
      </w:r>
    </w:p>
    <w:p w:rsidR="00152CCF" w:rsidRDefault="00E56170" w:rsidP="00FB226F">
      <w:pPr>
        <w:topLinePunct/>
        <w:spacing w:line="360" w:lineRule="exact"/>
        <w:ind w:leftChars="100" w:left="501" w:hangingChars="150" w:hanging="301"/>
      </w:pPr>
      <w:r w:rsidRPr="00E56170">
        <w:rPr>
          <w:rFonts w:ascii="ＭＳ ゴシック" w:eastAsia="ＭＳ ゴシック" w:hAnsi="ＭＳ ゴシック" w:hint="eastAsia"/>
          <w:b/>
          <w:color w:val="595959" w:themeColor="text1" w:themeTint="A6"/>
        </w:rPr>
        <w:t>③</w:t>
      </w:r>
      <w:r w:rsidR="00834BF9">
        <w:rPr>
          <w:rFonts w:hint="eastAsia"/>
        </w:rPr>
        <w:t>「</w:t>
      </w:r>
      <w:r w:rsidR="00B87448">
        <w:t>主体的に学習に取り組む態度」の評価</w:t>
      </w:r>
      <w:r w:rsidR="00B87448">
        <w:rPr>
          <w:rFonts w:hint="eastAsia"/>
        </w:rPr>
        <w:t>：</w:t>
      </w:r>
      <w:r w:rsidR="007B1645">
        <w:t>言葉を通じて積極的に人と関わったり，思いや考えを深めたりしながら，言葉がもつ価値を認識しようとしているとともに，</w:t>
      </w:r>
      <w:r w:rsidR="00834BF9">
        <w:t>言語感覚を豊かにし，言葉を適切に使おうとしているかどうかに</w:t>
      </w:r>
      <w:r w:rsidR="00834BF9">
        <w:rPr>
          <w:rFonts w:hint="eastAsia"/>
        </w:rPr>
        <w:t>関する</w:t>
      </w:r>
      <w:r w:rsidR="00834BF9">
        <w:t>評価。文末</w:t>
      </w:r>
      <w:r w:rsidR="00834BF9">
        <w:rPr>
          <w:rFonts w:hint="eastAsia"/>
        </w:rPr>
        <w:t>を</w:t>
      </w:r>
      <w:r w:rsidR="00834BF9">
        <w:t>「～しようとしている。」として</w:t>
      </w:r>
      <w:r w:rsidR="00834BF9">
        <w:rPr>
          <w:rFonts w:hint="eastAsia"/>
        </w:rPr>
        <w:t>示す</w:t>
      </w:r>
      <w:r w:rsidR="007B1645">
        <w:t>。</w:t>
      </w:r>
    </w:p>
    <w:p w:rsidR="00BB5C24" w:rsidRDefault="00BB5C24" w:rsidP="00FB226F">
      <w:pPr>
        <w:topLinePunct/>
        <w:spacing w:line="360" w:lineRule="exact"/>
        <w:ind w:firstLineChars="100" w:firstLine="200"/>
      </w:pPr>
    </w:p>
    <w:p w:rsidR="00BB5C24" w:rsidRDefault="00BB5C24" w:rsidP="00FB226F">
      <w:pPr>
        <w:topLinePunct/>
        <w:spacing w:line="360" w:lineRule="exact"/>
        <w:ind w:firstLineChars="100" w:firstLine="200"/>
      </w:pPr>
      <w:r>
        <w:rPr>
          <w:rFonts w:hint="eastAsia"/>
        </w:rPr>
        <w:t>「主体的に学習に取り組む態度」の評価では，次の二つの側面について評価することが求められています。</w:t>
      </w:r>
    </w:p>
    <w:p w:rsidR="00BB5C24" w:rsidRDefault="00E56170" w:rsidP="00E56170">
      <w:pPr>
        <w:topLinePunct/>
        <w:spacing w:beforeLines="50" w:before="140" w:line="360" w:lineRule="exact"/>
        <w:ind w:leftChars="100" w:left="540" w:hangingChars="170" w:hanging="34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B5C24">
        <w:rPr>
          <w:rFonts w:hint="eastAsia"/>
        </w:rPr>
        <w:t>知識及び技能を獲得したり，思考力，判断力，表現力等を身につけたりすることに向けた粘り強い取り組みを行おうとする側面</w:t>
      </w:r>
    </w:p>
    <w:p w:rsidR="00BB5C24" w:rsidRDefault="00E56170" w:rsidP="00FB226F">
      <w:pPr>
        <w:topLinePunct/>
        <w:spacing w:line="360" w:lineRule="exact"/>
        <w:ind w:leftChars="100" w:left="500" w:hangingChars="150" w:hanging="3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2</w:instrText>
      </w:r>
      <w:r>
        <w:rPr>
          <w:rFonts w:ascii="Arial Black" w:hAnsi="Arial Black" w:hint="eastAsia"/>
        </w:rPr>
        <w:instrText>)</w:instrText>
      </w:r>
      <w:r>
        <w:rPr>
          <w:rFonts w:ascii="Arial Black" w:hAnsi="Arial Black"/>
        </w:rPr>
        <w:fldChar w:fldCharType="end"/>
      </w:r>
      <w:r w:rsidR="00FB226F" w:rsidRPr="00FB226F">
        <w:rPr>
          <w:rFonts w:hint="eastAsia"/>
        </w:rPr>
        <w:t xml:space="preserve"> </w:t>
      </w: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BB5C24">
        <w:rPr>
          <w:rFonts w:hint="eastAsia"/>
        </w:rPr>
        <w:t>の粘り強い取り組みを行う中で，自らの学習を調整しようとする側面</w:t>
      </w:r>
    </w:p>
    <w:p w:rsidR="00870B6B" w:rsidRDefault="00870B6B" w:rsidP="00FB226F">
      <w:pPr>
        <w:topLinePunct/>
        <w:spacing w:line="360" w:lineRule="exact"/>
        <w:ind w:left="200" w:hangingChars="100" w:hanging="200"/>
      </w:pPr>
    </w:p>
    <w:p w:rsidR="007B1645" w:rsidRDefault="00B87448" w:rsidP="00FB226F">
      <w:pPr>
        <w:topLinePunct/>
        <w:spacing w:line="360" w:lineRule="exact"/>
        <w:ind w:firstLineChars="100" w:firstLine="200"/>
      </w:pPr>
      <w:r>
        <w:rPr>
          <w:rFonts w:hint="eastAsia"/>
        </w:rPr>
        <w:t>評価規準を作成する際には，</w:t>
      </w:r>
      <w:r w:rsidR="007B1645">
        <w:rPr>
          <w:rFonts w:hint="eastAsia"/>
        </w:rPr>
        <w:t>下記</w:t>
      </w:r>
      <w:r w:rsidR="00E56170">
        <w:rPr>
          <w:rFonts w:ascii="Arial Black" w:hAnsi="Arial Black"/>
        </w:rPr>
        <w:fldChar w:fldCharType="begin"/>
      </w:r>
      <w:r w:rsidR="00E56170">
        <w:rPr>
          <w:rFonts w:ascii="Arial Black" w:hAnsi="Arial Black"/>
        </w:rPr>
        <w:instrText xml:space="preserve"> </w:instrText>
      </w:r>
      <w:r w:rsidR="00E56170">
        <w:rPr>
          <w:rFonts w:ascii="Arial Black" w:hAnsi="Arial Black" w:hint="eastAsia"/>
        </w:rPr>
        <w:instrText>eq \o\ac(</w:instrText>
      </w:r>
      <w:r w:rsidR="00E56170" w:rsidRPr="007C4514">
        <w:rPr>
          <w:rFonts w:ascii="ＭＳ 明朝" w:hAnsi="Arial Black" w:hint="eastAsia"/>
          <w:color w:val="BFBFBF" w:themeColor="background1" w:themeShade="BF"/>
          <w:position w:val="-2"/>
          <w:sz w:val="24"/>
        </w:rPr>
        <w:instrText>●</w:instrText>
      </w:r>
      <w:r w:rsidR="00E56170">
        <w:rPr>
          <w:rFonts w:ascii="Arial Black" w:hAnsi="Arial Black" w:hint="eastAsia"/>
        </w:rPr>
        <w:instrText>,</w:instrText>
      </w:r>
      <w:r w:rsidR="00E56170" w:rsidRPr="007C4514">
        <w:rPr>
          <w:rFonts w:ascii="Arial Black" w:hAnsi="Arial Black" w:hint="eastAsia"/>
          <w:sz w:val="18"/>
        </w:rPr>
        <w:instrText>1</w:instrText>
      </w:r>
      <w:r w:rsidR="00E56170">
        <w:rPr>
          <w:rFonts w:ascii="Arial Black" w:hAnsi="Arial Black" w:hint="eastAsia"/>
        </w:rPr>
        <w:instrText>)</w:instrText>
      </w:r>
      <w:r w:rsidR="00E56170">
        <w:rPr>
          <w:rFonts w:ascii="Arial Black" w:hAnsi="Arial Black"/>
        </w:rPr>
        <w:fldChar w:fldCharType="end"/>
      </w:r>
      <w:r w:rsidR="007B1645">
        <w:rPr>
          <w:rFonts w:hint="eastAsia"/>
        </w:rPr>
        <w:t>から</w:t>
      </w:r>
      <w:r w:rsidR="00E56170">
        <w:rPr>
          <w:rFonts w:ascii="Arial Black" w:hAnsi="Arial Black"/>
        </w:rPr>
        <w:fldChar w:fldCharType="begin"/>
      </w:r>
      <w:r w:rsidR="00E56170">
        <w:rPr>
          <w:rFonts w:ascii="Arial Black" w:hAnsi="Arial Black"/>
        </w:rPr>
        <w:instrText xml:space="preserve"> </w:instrText>
      </w:r>
      <w:r w:rsidR="00E56170">
        <w:rPr>
          <w:rFonts w:ascii="Arial Black" w:hAnsi="Arial Black" w:hint="eastAsia"/>
        </w:rPr>
        <w:instrText>eq \o\ac(</w:instrText>
      </w:r>
      <w:r w:rsidR="00E56170" w:rsidRPr="007C4514">
        <w:rPr>
          <w:rFonts w:ascii="ＭＳ 明朝" w:hAnsi="Arial Black" w:hint="eastAsia"/>
          <w:color w:val="BFBFBF" w:themeColor="background1" w:themeShade="BF"/>
          <w:position w:val="-2"/>
          <w:sz w:val="24"/>
        </w:rPr>
        <w:instrText>●</w:instrText>
      </w:r>
      <w:r w:rsidR="00E56170">
        <w:rPr>
          <w:rFonts w:ascii="Arial Black" w:hAnsi="Arial Black" w:hint="eastAsia"/>
        </w:rPr>
        <w:instrText>,</w:instrText>
      </w:r>
      <w:r w:rsidR="00E56170">
        <w:rPr>
          <w:rFonts w:ascii="Arial Black" w:hAnsi="Arial Black"/>
          <w:sz w:val="18"/>
        </w:rPr>
        <w:instrText>4</w:instrText>
      </w:r>
      <w:r w:rsidR="00E56170">
        <w:rPr>
          <w:rFonts w:ascii="Arial Black" w:hAnsi="Arial Black" w:hint="eastAsia"/>
        </w:rPr>
        <w:instrText>)</w:instrText>
      </w:r>
      <w:r w:rsidR="00E56170">
        <w:rPr>
          <w:rFonts w:ascii="Arial Black" w:hAnsi="Arial Black"/>
        </w:rPr>
        <w:fldChar w:fldCharType="end"/>
      </w:r>
      <w:r w:rsidR="007B1645">
        <w:rPr>
          <w:rFonts w:hint="eastAsia"/>
        </w:rPr>
        <w:t>の内容を全て含め，教材の目標や学習内容等に応じて，その組み合わせを工夫すること</w:t>
      </w:r>
      <w:r>
        <w:rPr>
          <w:rFonts w:hint="eastAsia"/>
        </w:rPr>
        <w:t>になります。</w:t>
      </w:r>
    </w:p>
    <w:p w:rsidR="007B1645" w:rsidRDefault="00E56170" w:rsidP="00FB226F">
      <w:pPr>
        <w:topLinePunct/>
        <w:spacing w:beforeLines="50" w:before="140"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87448">
        <w:t>粘り強さ</w:t>
      </w:r>
      <w:r w:rsidR="00B87448">
        <w:rPr>
          <w:rFonts w:hint="eastAsia"/>
        </w:rPr>
        <w:t>【</w:t>
      </w:r>
      <w:r w:rsidR="00B87448">
        <w:t>積極的に，進んで，粘り強く等</w:t>
      </w:r>
      <w:r w:rsidR="00B87448">
        <w:rPr>
          <w:rFonts w:hint="eastAsia"/>
        </w:rPr>
        <w:t>】</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2</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87448">
        <w:t>自らの学習の調整</w:t>
      </w:r>
      <w:r w:rsidR="00B87448">
        <w:rPr>
          <w:rFonts w:hint="eastAsia"/>
        </w:rPr>
        <w:t>【</w:t>
      </w:r>
      <w:r w:rsidR="007B1645">
        <w:t>学</w:t>
      </w:r>
      <w:r w:rsidR="00B87448">
        <w:t>習の見通しをもって，学習課題に</w:t>
      </w:r>
      <w:r w:rsidR="00B87448">
        <w:rPr>
          <w:rFonts w:hint="eastAsia"/>
        </w:rPr>
        <w:t>そ</w:t>
      </w:r>
      <w:r w:rsidR="00B87448">
        <w:t>って，今までの学習を生かして等</w:t>
      </w:r>
      <w:r w:rsidR="00B87448">
        <w:rPr>
          <w:rFonts w:hint="eastAsia"/>
        </w:rPr>
        <w:t>】</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3</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7B1645">
        <w:t>他の</w:t>
      </w:r>
      <w:r w:rsidR="00FB226F">
        <w:rPr>
          <w:rFonts w:hint="eastAsia"/>
        </w:rPr>
        <w:t>2</w:t>
      </w:r>
      <w:r w:rsidR="007B1645">
        <w:t>観点において重点とする内容（特に，粘り強さを発揮してほしい内容）</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4</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7B1645">
        <w:t>当該教材の具体的な言語活動（自らの学習の調整が必要となる具体的な言語活動）</w:t>
      </w:r>
    </w:p>
    <w:p w:rsidR="00680C55" w:rsidRPr="00870B6B" w:rsidRDefault="00B87448" w:rsidP="00FB226F">
      <w:pPr>
        <w:spacing w:line="360" w:lineRule="exact"/>
        <w:jc w:val="right"/>
      </w:pPr>
      <w:r w:rsidRPr="00870B6B">
        <w:rPr>
          <w:rFonts w:hint="eastAsia"/>
        </w:rPr>
        <w:t>※【　】</w:t>
      </w:r>
      <w:r w:rsidRPr="00870B6B">
        <w:t>内の言葉は，当該内容の学習状況を例示したもので，これ以外も想定される。</w:t>
      </w:r>
    </w:p>
    <w:p w:rsidR="00B87448" w:rsidRDefault="00B87448" w:rsidP="00FB226F">
      <w:pPr>
        <w:topLinePunct/>
        <w:spacing w:line="360" w:lineRule="exact"/>
      </w:pPr>
    </w:p>
    <w:p w:rsidR="00834BF9" w:rsidRPr="00970CA0" w:rsidRDefault="00834BF9" w:rsidP="00FB226F">
      <w:pPr>
        <w:topLinePunct/>
        <w:spacing w:line="360" w:lineRule="exact"/>
        <w:ind w:firstLineChars="100" w:firstLine="200"/>
      </w:pPr>
      <w:r w:rsidRPr="00970CA0">
        <w:rPr>
          <w:rFonts w:hint="eastAsia"/>
        </w:rPr>
        <w:t>本資料においては，それぞれの観点についての</w:t>
      </w:r>
      <w:r w:rsidRPr="00970CA0">
        <w:t>B</w:t>
      </w:r>
      <w:r w:rsidRPr="00970CA0">
        <w:t>規準（おおむね満足できる状況）の例を示しています。特に重点を置く評価規準は太字で表示し，波線の下線を付しました。</w:t>
      </w:r>
    </w:p>
    <w:p w:rsidR="002C0CE1" w:rsidRDefault="00680C55" w:rsidP="003756D0">
      <w:pPr>
        <w:topLinePunct/>
        <w:spacing w:line="360" w:lineRule="exact"/>
        <w:ind w:firstLineChars="100" w:firstLine="200"/>
      </w:pPr>
      <w:r>
        <w:rPr>
          <w:rFonts w:hint="eastAsia"/>
        </w:rPr>
        <w:t>学習評価についての詳細は，</w:t>
      </w:r>
      <w:r w:rsidR="007B1645" w:rsidRPr="007B1645">
        <w:rPr>
          <w:rFonts w:hint="eastAsia"/>
        </w:rPr>
        <w:t>『「指導と評価の一体化」のための</w:t>
      </w:r>
      <w:r w:rsidR="007B1645" w:rsidRPr="007B1645">
        <w:t>学習評価に関す</w:t>
      </w:r>
      <w:r>
        <w:t>る参考資料』（国立教育政策研究所・令和</w:t>
      </w:r>
      <w:r w:rsidR="00870B6B">
        <w:t>2</w:t>
      </w:r>
      <w:r>
        <w:t>年</w:t>
      </w:r>
      <w:r w:rsidR="00870B6B">
        <w:rPr>
          <w:rFonts w:hint="eastAsia"/>
        </w:rPr>
        <w:t>3</w:t>
      </w:r>
      <w:r>
        <w:t>月）</w:t>
      </w:r>
      <w:r>
        <w:rPr>
          <w:rFonts w:hint="eastAsia"/>
        </w:rPr>
        <w:t>をご参照ください</w:t>
      </w:r>
      <w:r w:rsidR="007B1645" w:rsidRPr="007B1645">
        <w:t>。</w:t>
      </w:r>
      <w:r w:rsidR="002C0CE1">
        <w:br w:type="page"/>
      </w:r>
    </w:p>
    <w:p w:rsidR="002C0CE1" w:rsidRPr="007C4514"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5408" behindDoc="1" locked="0" layoutInCell="1" allowOverlap="1" wp14:anchorId="07034CC5" wp14:editId="24A4DF3C">
                <wp:simplePos x="0" y="0"/>
                <wp:positionH relativeFrom="column">
                  <wp:align>center</wp:align>
                </wp:positionH>
                <wp:positionV relativeFrom="paragraph">
                  <wp:posOffset>161925</wp:posOffset>
                </wp:positionV>
                <wp:extent cx="6264000" cy="0"/>
                <wp:effectExtent l="0" t="38100" r="41910" b="38100"/>
                <wp:wrapNone/>
                <wp:docPr id="7" name="直線コネクタ 7"/>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BB872" id="直線コネクタ 7"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" strokecolor="#bfbfbf" strokeweight="6pt">
                <v:stroke joinstyle="miter"/>
              </v:line>
            </w:pict>
          </mc:Fallback>
        </mc:AlternateContent>
      </w:r>
      <w:r w:rsidRPr="00870B6B">
        <w:rPr>
          <w:rFonts w:ascii="ＭＳ ゴシック" w:eastAsia="ＭＳ ゴシック" w:hAnsi="ＭＳ ゴシック" w:cs="ＭＳ Ｐゴシック" w:hint="eastAsia"/>
          <w:sz w:val="24"/>
        </w:rPr>
        <w:t>学習指導要領の指導事項と本資料での略称</w:t>
      </w:r>
    </w:p>
    <w:tbl>
      <w:tblPr>
        <w:tblpPr w:leftFromText="142" w:rightFromText="142" w:vertAnchor="text" w:tblpXSpec="center" w:tblpY="17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822"/>
        <w:gridCol w:w="521"/>
        <w:gridCol w:w="1470"/>
        <w:gridCol w:w="1470"/>
        <w:gridCol w:w="1470"/>
        <w:gridCol w:w="658"/>
        <w:gridCol w:w="695"/>
        <w:gridCol w:w="915"/>
        <w:gridCol w:w="915"/>
        <w:gridCol w:w="915"/>
      </w:tblGrid>
      <w:tr w:rsidR="00E56170" w:rsidRPr="00321097" w:rsidTr="00E56170">
        <w:trPr>
          <w:cantSplit/>
          <w:trHeight w:hRule="exact" w:val="850"/>
        </w:trPr>
        <w:tc>
          <w:tcPr>
            <w:tcW w:w="803" w:type="dxa"/>
            <w:shd w:val="clear" w:color="auto" w:fill="595959" w:themeFill="text1" w:themeFillTint="A6"/>
            <w:noWrap/>
            <w:tcMar>
              <w:top w:w="0" w:type="dxa"/>
              <w:left w:w="57" w:type="dxa"/>
              <w:bottom w:w="0" w:type="dxa"/>
              <w:right w:w="57" w:type="dxa"/>
            </w:tcMar>
            <w:vAlign w:val="center"/>
          </w:tcPr>
          <w:p w:rsidR="002C0CE1" w:rsidRPr="00E56170"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spacing w:val="-2"/>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思考力，</w:t>
            </w:r>
          </w:p>
          <w:p w:rsidR="002C0CE1" w:rsidRPr="00E56170"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spacing w:val="-2"/>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判断力，</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表現力等</w:t>
            </w:r>
          </w:p>
        </w:tc>
        <w:tc>
          <w:tcPr>
            <w:tcW w:w="510" w:type="dxa"/>
            <w:shd w:val="clear" w:color="auto" w:fill="595959" w:themeFill="text1" w:themeFillTint="A6"/>
            <w:noWrap/>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略号</w:t>
            </w:r>
          </w:p>
        </w:tc>
        <w:tc>
          <w:tcPr>
            <w:tcW w:w="1438" w:type="dxa"/>
            <w:shd w:val="clear" w:color="auto" w:fill="595959" w:themeFill="text1" w:themeFillTint="A6"/>
            <w:noWrap/>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1</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1438" w:type="dxa"/>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2</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1438" w:type="dxa"/>
            <w:tcBorders>
              <w:right w:val="double" w:sz="4" w:space="0" w:color="auto"/>
            </w:tcBorders>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3</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644" w:type="dxa"/>
            <w:tcBorders>
              <w:left w:val="double" w:sz="4" w:space="0" w:color="auto"/>
            </w:tcBorders>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知識</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および</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技能</w:t>
            </w:r>
          </w:p>
        </w:tc>
        <w:tc>
          <w:tcPr>
            <w:tcW w:w="680" w:type="dxa"/>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略号</w:t>
            </w:r>
          </w:p>
        </w:tc>
        <w:tc>
          <w:tcPr>
            <w:tcW w:w="895" w:type="dxa"/>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1</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895" w:type="dxa"/>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2</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895" w:type="dxa"/>
            <w:shd w:val="clear" w:color="auto" w:fill="595959" w:themeFill="text1" w:themeFillTint="A6"/>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3</w:t>
            </w:r>
            <w:r w:rsidRPr="00433692">
              <w:rPr>
                <w:rFonts w:ascii="ＭＳ Ｐゴシック" w:eastAsia="ＭＳ Ｐゴシック" w:hAnsi="ＭＳ Ｐゴシック" w:cs="ＭＳ Ｐゴシック" w:hint="eastAsia"/>
                <w:color w:val="FFFFFF" w:themeColor="background1"/>
                <w:kern w:val="0"/>
                <w:sz w:val="18"/>
                <w:szCs w:val="18"/>
              </w:rPr>
              <w:t>年</w:t>
            </w:r>
          </w:p>
        </w:tc>
      </w:tr>
      <w:tr w:rsidR="00E56170" w:rsidRPr="00321097" w:rsidTr="00E56170">
        <w:trPr>
          <w:cantSplit/>
          <w:trHeight w:hRule="exact" w:val="567"/>
        </w:trPr>
        <w:tc>
          <w:tcPr>
            <w:tcW w:w="803" w:type="dxa"/>
            <w:vMerge w:val="restart"/>
            <w:shd w:val="clear" w:color="auto" w:fill="BFBFBF" w:themeFill="background1" w:themeFillShade="BF"/>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話すこと・聞くこと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Ａア</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A07CDB">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話題の設定</w:t>
            </w:r>
            <w:r>
              <w:rPr>
                <w:rFonts w:ascii="ＭＳ Ｐ明朝" w:eastAsia="ＭＳ Ｐ明朝" w:hAnsi="ＭＳ Ｐ明朝" w:cs="ＭＳ Ｐゴシック" w:hint="eastAsia"/>
                <w:kern w:val="0"/>
                <w:sz w:val="16"/>
                <w:szCs w:val="16"/>
              </w:rPr>
              <w:t>（話すこと，聞くこと，話し合うこと），</w:t>
            </w:r>
            <w:r w:rsidRPr="00321097">
              <w:rPr>
                <w:rFonts w:ascii="ＭＳ Ｐ明朝" w:eastAsia="ＭＳ Ｐ明朝" w:hAnsi="ＭＳ Ｐ明朝" w:cs="ＭＳ Ｐゴシック" w:hint="eastAsia"/>
                <w:kern w:val="0"/>
                <w:sz w:val="16"/>
                <w:szCs w:val="16"/>
              </w:rPr>
              <w:t>情報の収集</w:t>
            </w:r>
            <w:r w:rsidRPr="00F563FD">
              <w:rPr>
                <w:rFonts w:ascii="ＭＳ Ｐ明朝" w:eastAsia="ＭＳ Ｐ明朝" w:hAnsi="ＭＳ Ｐ明朝" w:cs="ＭＳ Ｐゴシック" w:hint="eastAsia"/>
                <w:kern w:val="0"/>
                <w:sz w:val="16"/>
                <w:szCs w:val="16"/>
              </w:rPr>
              <w:t>（話すこと，聞くこと，話し合こと）</w:t>
            </w:r>
            <w:r>
              <w:rPr>
                <w:rFonts w:ascii="ＭＳ Ｐ明朝" w:eastAsia="ＭＳ Ｐ明朝" w:hAnsi="ＭＳ Ｐ明朝" w:cs="ＭＳ Ｐゴシック" w:hint="eastAsia"/>
                <w:kern w:val="0"/>
                <w:sz w:val="16"/>
                <w:szCs w:val="16"/>
              </w:rPr>
              <w:t>，</w:t>
            </w:r>
            <w:r w:rsidRPr="00321097">
              <w:rPr>
                <w:rFonts w:ascii="ＭＳ Ｐ明朝" w:eastAsia="ＭＳ Ｐ明朝" w:hAnsi="ＭＳ Ｐ明朝" w:cs="ＭＳ Ｐゴシック" w:hint="eastAsia"/>
                <w:kern w:val="0"/>
                <w:sz w:val="16"/>
                <w:szCs w:val="16"/>
              </w:rPr>
              <w:t>内容の検討</w:t>
            </w:r>
            <w:r w:rsidRPr="00F563FD">
              <w:rPr>
                <w:rFonts w:ascii="ＭＳ Ｐ明朝" w:eastAsia="ＭＳ Ｐ明朝" w:hAnsi="ＭＳ Ｐ明朝" w:cs="ＭＳ Ｐゴシック" w:hint="eastAsia"/>
                <w:kern w:val="0"/>
                <w:sz w:val="16"/>
                <w:szCs w:val="16"/>
              </w:rPr>
              <w:t>（話すこと，話し合うこと）</w:t>
            </w:r>
          </w:p>
        </w:tc>
        <w:tc>
          <w:tcPr>
            <w:tcW w:w="644" w:type="dxa"/>
            <w:vMerge w:val="restart"/>
            <w:tcBorders>
              <w:left w:val="double" w:sz="4" w:space="0" w:color="auto"/>
            </w:tcBorders>
            <w:shd w:val="clear" w:color="auto" w:fill="BFBFBF" w:themeFill="background1" w:themeFillShade="BF"/>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200" w:firstLine="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言葉の特徴や使い方に</w:t>
            </w:r>
          </w:p>
          <w:p w:rsidR="002C0CE1" w:rsidRPr="00321097" w:rsidRDefault="002C0CE1" w:rsidP="00FB226F">
            <w:pPr>
              <w:overflowPunct w:val="0"/>
              <w:topLinePunct/>
              <w:spacing w:line="240" w:lineRule="exact"/>
              <w:ind w:firstLineChars="200" w:firstLine="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関する事項</w:t>
            </w: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知・技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（1）ア</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話し言葉と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書き言葉</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言葉の働き</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漢字</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Ａイ</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F563FD">
              <w:rPr>
                <w:rFonts w:ascii="ＭＳ Ｐ明朝" w:eastAsia="ＭＳ Ｐ明朝" w:hAnsi="ＭＳ Ｐ明朝" w:cs="ＭＳ Ｐゴシック"/>
                <w:kern w:val="0"/>
                <w:sz w:val="16"/>
                <w:szCs w:val="16"/>
              </w:rPr>
              <w:t>構成の検討</w:t>
            </w:r>
            <w:r>
              <w:rPr>
                <w:rFonts w:ascii="ＭＳ Ｐ明朝" w:eastAsia="ＭＳ Ｐ明朝" w:hAnsi="ＭＳ Ｐ明朝" w:cs="ＭＳ Ｐゴシック" w:hint="eastAsia"/>
                <w:kern w:val="0"/>
                <w:sz w:val="16"/>
                <w:szCs w:val="16"/>
              </w:rPr>
              <w:t>（話す</w:t>
            </w:r>
            <w:r w:rsidRPr="00F563FD">
              <w:rPr>
                <w:rFonts w:ascii="ＭＳ Ｐ明朝" w:eastAsia="ＭＳ Ｐ明朝" w:hAnsi="ＭＳ Ｐ明朝" w:cs="ＭＳ Ｐゴシック" w:hint="eastAsia"/>
                <w:kern w:val="0"/>
                <w:sz w:val="16"/>
                <w:szCs w:val="16"/>
              </w:rPr>
              <w:t>こと</w:t>
            </w:r>
            <w:r>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kern w:val="0"/>
                <w:sz w:val="16"/>
                <w:szCs w:val="16"/>
              </w:rPr>
              <w:t>考えの形成</w:t>
            </w:r>
            <w:r>
              <w:rPr>
                <w:rFonts w:ascii="ＭＳ Ｐ明朝" w:eastAsia="ＭＳ Ｐ明朝" w:hAnsi="ＭＳ Ｐ明朝" w:cs="ＭＳ Ｐゴシック" w:hint="eastAsia"/>
                <w:kern w:val="0"/>
                <w:sz w:val="16"/>
                <w:szCs w:val="16"/>
              </w:rPr>
              <w:t>（話す</w:t>
            </w:r>
            <w:r w:rsidRPr="00F563FD">
              <w:rPr>
                <w:rFonts w:ascii="ＭＳ Ｐ明朝" w:eastAsia="ＭＳ Ｐ明朝" w:hAnsi="ＭＳ Ｐ明朝" w:cs="ＭＳ Ｐゴシック" w:hint="eastAsia"/>
                <w:kern w:val="0"/>
                <w:sz w:val="16"/>
                <w:szCs w:val="16"/>
              </w:rPr>
              <w:t>こと</w:t>
            </w:r>
            <w:r>
              <w:rPr>
                <w:rFonts w:ascii="ＭＳ Ｐ明朝" w:eastAsia="ＭＳ Ｐ明朝" w:hAnsi="ＭＳ Ｐ明朝" w:cs="ＭＳ Ｐゴシック" w:hint="eastAsia"/>
                <w:kern w:val="0"/>
                <w:sz w:val="16"/>
                <w:szCs w:val="16"/>
              </w:rPr>
              <w:t>）</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イ</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漢字</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話し言葉と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書き言葉</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語彙</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Ａウ</w:t>
            </w:r>
          </w:p>
        </w:tc>
        <w:tc>
          <w:tcPr>
            <w:tcW w:w="4314" w:type="dxa"/>
            <w:gridSpan w:val="3"/>
            <w:tcBorders>
              <w:right w:val="double" w:sz="4" w:space="0" w:color="auto"/>
            </w:tcBorders>
            <w:shd w:val="clear" w:color="auto" w:fill="auto"/>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F563FD">
              <w:rPr>
                <w:rFonts w:ascii="ＭＳ Ｐ明朝" w:eastAsia="ＭＳ Ｐ明朝" w:hAnsi="ＭＳ Ｐ明朝" w:cs="ＭＳ Ｐゴシック"/>
                <w:kern w:val="0"/>
                <w:sz w:val="16"/>
                <w:szCs w:val="16"/>
              </w:rPr>
              <w:t>表現（</w:t>
            </w:r>
            <w:r w:rsidRPr="00F563FD">
              <w:rPr>
                <w:rFonts w:ascii="ＭＳ Ｐ明朝" w:eastAsia="ＭＳ Ｐ明朝" w:hAnsi="ＭＳ Ｐ明朝" w:cs="ＭＳ Ｐゴシック" w:hint="eastAsia"/>
                <w:kern w:val="0"/>
                <w:sz w:val="16"/>
                <w:szCs w:val="16"/>
              </w:rPr>
              <w:t>話すこと</w:t>
            </w:r>
            <w:r w:rsidRPr="00F563FD">
              <w:rPr>
                <w:rFonts w:ascii="ＭＳ Ｐ明朝" w:eastAsia="ＭＳ Ｐ明朝" w:hAnsi="ＭＳ Ｐ明朝" w:cs="ＭＳ Ｐゴシック"/>
                <w:kern w:val="0"/>
                <w:sz w:val="16"/>
                <w:szCs w:val="16"/>
              </w:rPr>
              <w:t>）</w:t>
            </w:r>
            <w:r>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kern w:val="0"/>
                <w:sz w:val="16"/>
                <w:szCs w:val="16"/>
              </w:rPr>
              <w:t>共有（</w:t>
            </w:r>
            <w:r w:rsidRPr="00F563FD">
              <w:rPr>
                <w:rFonts w:ascii="ＭＳ Ｐ明朝" w:eastAsia="ＭＳ Ｐ明朝" w:hAnsi="ＭＳ Ｐ明朝" w:cs="ＭＳ Ｐゴシック" w:hint="eastAsia"/>
                <w:kern w:val="0"/>
                <w:sz w:val="16"/>
                <w:szCs w:val="16"/>
              </w:rPr>
              <w:t>話すこと</w:t>
            </w:r>
            <w:r w:rsidRPr="00F563FD">
              <w:rPr>
                <w:rFonts w:ascii="ＭＳ Ｐ明朝" w:eastAsia="ＭＳ Ｐ明朝" w:hAnsi="ＭＳ Ｐ明朝" w:cs="ＭＳ Ｐゴシック"/>
                <w:kern w:val="0"/>
                <w:sz w:val="16"/>
                <w:szCs w:val="16"/>
              </w:rPr>
              <w:t>）</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ウ</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語彙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漢字</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文や文章</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Ａエ</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構造と内容の把握（</w:t>
            </w:r>
            <w:r w:rsidRPr="00321097">
              <w:rPr>
                <w:rFonts w:ascii="ＭＳ Ｐ明朝" w:eastAsia="ＭＳ Ｐ明朝" w:hAnsi="ＭＳ Ｐ明朝" w:cs="ＭＳ Ｐゴシック" w:hint="eastAsia"/>
                <w:kern w:val="0"/>
                <w:sz w:val="16"/>
                <w:szCs w:val="16"/>
              </w:rPr>
              <w:t>聞くこと</w:t>
            </w:r>
            <w:r>
              <w:rPr>
                <w:rFonts w:ascii="ＭＳ Ｐ明朝" w:eastAsia="ＭＳ Ｐ明朝" w:hAnsi="ＭＳ Ｐ明朝" w:cs="ＭＳ Ｐゴシック" w:hint="eastAsia"/>
                <w:kern w:val="0"/>
                <w:sz w:val="16"/>
                <w:szCs w:val="16"/>
              </w:rPr>
              <w:t>），精査・解釈</w:t>
            </w:r>
            <w:r w:rsidRPr="00F563FD">
              <w:rPr>
                <w:rFonts w:ascii="ＭＳ Ｐ明朝" w:eastAsia="ＭＳ Ｐ明朝" w:hAnsi="ＭＳ Ｐ明朝" w:cs="ＭＳ Ｐゴシック" w:hint="eastAsia"/>
                <w:kern w:val="0"/>
                <w:sz w:val="16"/>
                <w:szCs w:val="16"/>
              </w:rPr>
              <w:t>（聞くこと）</w:t>
            </w:r>
            <w:r>
              <w:rPr>
                <w:rFonts w:ascii="ＭＳ Ｐ明朝" w:eastAsia="ＭＳ Ｐ明朝" w:hAnsi="ＭＳ Ｐ明朝" w:cs="ＭＳ Ｐゴシック" w:hint="eastAsia"/>
                <w:kern w:val="0"/>
                <w:sz w:val="16"/>
                <w:szCs w:val="16"/>
              </w:rPr>
              <w:t>，</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Pr="00F563FD">
              <w:rPr>
                <w:rFonts w:ascii="ＭＳ Ｐ明朝" w:eastAsia="ＭＳ Ｐ明朝" w:hAnsi="ＭＳ Ｐ明朝" w:cs="ＭＳ Ｐゴシック" w:hint="eastAsia"/>
                <w:kern w:val="0"/>
                <w:sz w:val="16"/>
                <w:szCs w:val="16"/>
              </w:rPr>
              <w:t>（聞くこと）</w:t>
            </w:r>
            <w:r>
              <w:rPr>
                <w:rFonts w:ascii="ＭＳ Ｐ明朝" w:eastAsia="ＭＳ Ｐ明朝" w:hAnsi="ＭＳ Ｐ明朝" w:cs="ＭＳ Ｐゴシック" w:hint="eastAsia"/>
                <w:kern w:val="0"/>
                <w:sz w:val="16"/>
                <w:szCs w:val="16"/>
              </w:rPr>
              <w:t>，共有</w:t>
            </w:r>
            <w:r w:rsidRPr="00F563FD">
              <w:rPr>
                <w:rFonts w:ascii="ＭＳ Ｐ明朝" w:eastAsia="ＭＳ Ｐ明朝" w:hAnsi="ＭＳ Ｐ明朝" w:cs="ＭＳ Ｐゴシック" w:hint="eastAsia"/>
                <w:kern w:val="0"/>
                <w:sz w:val="16"/>
                <w:szCs w:val="16"/>
              </w:rPr>
              <w:t>（聞くこと）</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エ</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文や文章</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語彙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言葉遣い</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Ａオ</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話し合いの進め方の検討（話し合うこと），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Pr="00F563FD">
              <w:rPr>
                <w:rFonts w:ascii="ＭＳ Ｐ明朝" w:eastAsia="ＭＳ Ｐ明朝" w:hAnsi="ＭＳ Ｐ明朝" w:cs="ＭＳ Ｐゴシック" w:hint="eastAsia"/>
                <w:kern w:val="0"/>
                <w:sz w:val="16"/>
                <w:szCs w:val="16"/>
              </w:rPr>
              <w:t>（話し合うこと）</w:t>
            </w:r>
            <w:r>
              <w:rPr>
                <w:rFonts w:ascii="ＭＳ Ｐ明朝" w:eastAsia="ＭＳ Ｐ明朝" w:hAnsi="ＭＳ Ｐ明朝" w:cs="ＭＳ Ｐゴシック" w:hint="eastAsia"/>
                <w:kern w:val="0"/>
                <w:sz w:val="16"/>
                <w:szCs w:val="16"/>
              </w:rPr>
              <w:t>，共有</w:t>
            </w:r>
            <w:r w:rsidRPr="00F563FD">
              <w:rPr>
                <w:rFonts w:ascii="ＭＳ Ｐ明朝" w:eastAsia="ＭＳ Ｐ明朝" w:hAnsi="ＭＳ Ｐ明朝" w:cs="ＭＳ Ｐゴシック" w:hint="eastAsia"/>
                <w:kern w:val="0"/>
                <w:sz w:val="16"/>
                <w:szCs w:val="16"/>
              </w:rPr>
              <w:t>（話し合うこと）</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オ</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表現の技法</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文や文章</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r>
      <w:tr w:rsidR="00E56170" w:rsidRPr="00321097" w:rsidTr="00E56170">
        <w:trPr>
          <w:cantSplit/>
          <w:trHeight w:hRule="exact" w:val="567"/>
        </w:trPr>
        <w:tc>
          <w:tcPr>
            <w:tcW w:w="803" w:type="dxa"/>
            <w:vMerge w:val="restart"/>
            <w:shd w:val="clear" w:color="auto" w:fill="EAEAEA"/>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書くこと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Ｂア</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題材の設定，情報の収集，内容の検討</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カ</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言葉遣い</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r>
      <w:tr w:rsidR="00E56170" w:rsidRPr="00321097" w:rsidTr="00E56170">
        <w:trPr>
          <w:cantSplit/>
          <w:trHeight w:hRule="exact" w:val="567"/>
        </w:trPr>
        <w:tc>
          <w:tcPr>
            <w:tcW w:w="803" w:type="dxa"/>
            <w:vMerge/>
            <w:shd w:val="clear" w:color="auto" w:fill="EAEAEA"/>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Ｂイ</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構成</w:t>
            </w:r>
            <w:r>
              <w:rPr>
                <w:rFonts w:ascii="ＭＳ Ｐ明朝" w:eastAsia="ＭＳ Ｐ明朝" w:hAnsi="ＭＳ Ｐ明朝" w:cs="ＭＳ Ｐゴシック" w:hint="eastAsia"/>
                <w:kern w:val="0"/>
                <w:sz w:val="16"/>
                <w:szCs w:val="16"/>
              </w:rPr>
              <w:t>の検討</w:t>
            </w:r>
          </w:p>
        </w:tc>
        <w:tc>
          <w:tcPr>
            <w:tcW w:w="644" w:type="dxa"/>
            <w:vMerge w:val="restart"/>
            <w:tcBorders>
              <w:left w:val="double" w:sz="4" w:space="0" w:color="auto"/>
            </w:tcBorders>
            <w:shd w:val="clear" w:color="auto" w:fill="EAEAEA"/>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情報の扱い方に</w:t>
            </w:r>
          </w:p>
          <w:p w:rsidR="002C0CE1" w:rsidRPr="00321097"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関する事項</w:t>
            </w:r>
          </w:p>
        </w:tc>
        <w:tc>
          <w:tcPr>
            <w:tcW w:w="680" w:type="dxa"/>
            <w:vMerge w:val="restart"/>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2</w:t>
            </w:r>
            <w:r w:rsidRPr="007A1C96">
              <w:rPr>
                <w:rFonts w:ascii="ＭＳ Ｐ明朝" w:eastAsia="ＭＳ Ｐ明朝" w:hAnsi="ＭＳ Ｐ明朝" w:cs="ＭＳ Ｐゴシック" w:hint="eastAsia"/>
                <w:kern w:val="0"/>
                <w:sz w:val="16"/>
                <w:szCs w:val="16"/>
              </w:rPr>
              <w:t>）ア</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情報と情報との関係</w:t>
            </w:r>
          </w:p>
        </w:tc>
      </w:tr>
      <w:tr w:rsidR="00E56170" w:rsidRPr="00321097" w:rsidTr="00E56170">
        <w:trPr>
          <w:cantSplit/>
          <w:trHeight w:hRule="exact" w:val="567"/>
        </w:trPr>
        <w:tc>
          <w:tcPr>
            <w:tcW w:w="803" w:type="dxa"/>
            <w:vMerge/>
            <w:shd w:val="clear" w:color="auto" w:fill="EAEAEA"/>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Ｂウ</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考えの形成，記述</w:t>
            </w:r>
          </w:p>
        </w:tc>
        <w:tc>
          <w:tcPr>
            <w:tcW w:w="644" w:type="dxa"/>
            <w:vMerge/>
            <w:tcBorders>
              <w:left w:val="double" w:sz="4" w:space="0" w:color="auto"/>
            </w:tcBorders>
            <w:shd w:val="clear" w:color="auto" w:fill="EAEAE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E56170">
        <w:trPr>
          <w:cantSplit/>
          <w:trHeight w:hRule="exact" w:val="567"/>
        </w:trPr>
        <w:tc>
          <w:tcPr>
            <w:tcW w:w="803" w:type="dxa"/>
            <w:vMerge/>
            <w:shd w:val="clear" w:color="auto" w:fill="EAEAEA"/>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Ｂエ</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推敲</w:t>
            </w:r>
          </w:p>
        </w:tc>
        <w:tc>
          <w:tcPr>
            <w:tcW w:w="644" w:type="dxa"/>
            <w:vMerge/>
            <w:tcBorders>
              <w:left w:val="double" w:sz="4" w:space="0" w:color="auto"/>
            </w:tcBorders>
            <w:shd w:val="clear" w:color="auto" w:fill="EAEAEA"/>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val="restart"/>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2</w:t>
            </w:r>
            <w:r w:rsidR="007E037D">
              <w:rPr>
                <w:rFonts w:ascii="ＭＳ Ｐ明朝" w:eastAsia="ＭＳ Ｐ明朝" w:hAnsi="ＭＳ Ｐ明朝" w:cs="ＭＳ Ｐゴシック" w:hint="eastAsia"/>
                <w:kern w:val="0"/>
                <w:sz w:val="16"/>
                <w:szCs w:val="16"/>
              </w:rPr>
              <w:t>）イ</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情報の整理</w:t>
            </w:r>
          </w:p>
        </w:tc>
      </w:tr>
      <w:tr w:rsidR="00E56170" w:rsidRPr="00321097" w:rsidTr="00E56170">
        <w:trPr>
          <w:cantSplit/>
          <w:trHeight w:hRule="exact" w:val="567"/>
        </w:trPr>
        <w:tc>
          <w:tcPr>
            <w:tcW w:w="803" w:type="dxa"/>
            <w:vMerge/>
            <w:shd w:val="clear" w:color="auto" w:fill="EAEAEA"/>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Ｂオ</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共有</w:t>
            </w:r>
          </w:p>
        </w:tc>
        <w:tc>
          <w:tcPr>
            <w:tcW w:w="644" w:type="dxa"/>
            <w:vMerge/>
            <w:tcBorders>
              <w:left w:val="double" w:sz="4" w:space="0" w:color="auto"/>
            </w:tcBorders>
            <w:shd w:val="clear" w:color="auto" w:fill="EAEAE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E56170">
        <w:trPr>
          <w:cantSplit/>
          <w:trHeight w:hRule="exact" w:val="567"/>
        </w:trPr>
        <w:tc>
          <w:tcPr>
            <w:tcW w:w="803" w:type="dxa"/>
            <w:vMerge w:val="restart"/>
            <w:shd w:val="clear" w:color="auto" w:fill="BFBFBF" w:themeFill="background1" w:themeFillShade="BF"/>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読むこと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Ｃア</w:t>
            </w:r>
          </w:p>
        </w:tc>
        <w:tc>
          <w:tcPr>
            <w:tcW w:w="1438" w:type="dxa"/>
            <w:vMerge w:val="restart"/>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構造と内容の把握</w:t>
            </w:r>
          </w:p>
        </w:tc>
        <w:tc>
          <w:tcPr>
            <w:tcW w:w="1438"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構造と内容の把握</w:t>
            </w:r>
          </w:p>
        </w:tc>
        <w:tc>
          <w:tcPr>
            <w:tcW w:w="1438" w:type="dxa"/>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構造と内容の把握</w:t>
            </w:r>
          </w:p>
        </w:tc>
        <w:tc>
          <w:tcPr>
            <w:tcW w:w="644" w:type="dxa"/>
            <w:vMerge w:val="restart"/>
            <w:tcBorders>
              <w:left w:val="double" w:sz="4" w:space="0" w:color="auto"/>
            </w:tcBorders>
            <w:shd w:val="clear" w:color="auto" w:fill="BFBFBF" w:themeFill="background1" w:themeFillShade="BF"/>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sidRPr="00504566">
              <w:rPr>
                <w:rFonts w:ascii="ＭＳ Ｐゴシック" w:eastAsia="ＭＳ Ｐゴシック" w:hAnsi="ＭＳ Ｐゴシック" w:cs="ＭＳ Ｐゴシック"/>
                <w:kern w:val="0"/>
                <w:sz w:val="18"/>
                <w:szCs w:val="18"/>
              </w:rPr>
              <w:t>我が国の言語文化に</w:t>
            </w:r>
          </w:p>
          <w:p w:rsidR="002C0CE1" w:rsidRPr="00321097"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sidRPr="00504566">
              <w:rPr>
                <w:rFonts w:ascii="ＭＳ Ｐゴシック" w:eastAsia="ＭＳ Ｐゴシック" w:hAnsi="ＭＳ Ｐゴシック" w:cs="ＭＳ Ｐゴシック"/>
                <w:kern w:val="0"/>
                <w:sz w:val="18"/>
                <w:szCs w:val="18"/>
              </w:rPr>
              <w:t>関する事項</w:t>
            </w: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）ア</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伝統的な言語文化</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tcBorders>
              <w:bottom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Ｃイ</w:t>
            </w:r>
          </w:p>
        </w:tc>
        <w:tc>
          <w:tcPr>
            <w:tcW w:w="1438" w:type="dxa"/>
            <w:vMerge/>
            <w:tcBorders>
              <w:bottom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精査・解釈</w:t>
            </w:r>
          </w:p>
        </w:tc>
        <w:tc>
          <w:tcPr>
            <w:tcW w:w="1438" w:type="dxa"/>
            <w:vMerge w:val="restart"/>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精査・解釈</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イ</w:t>
            </w: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tcBorders>
              <w:top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Ｃウ</w:t>
            </w:r>
          </w:p>
        </w:tc>
        <w:tc>
          <w:tcPr>
            <w:tcW w:w="1438" w:type="dxa"/>
            <w:vMerge w:val="restart"/>
            <w:tcBorders>
              <w:top w:val="single" w:sz="4" w:space="0" w:color="auto"/>
            </w:tcBorders>
            <w:shd w:val="clear" w:color="auto" w:fill="auto"/>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精査・解釈</w:t>
            </w:r>
          </w:p>
        </w:tc>
        <w:tc>
          <w:tcPr>
            <w:tcW w:w="1438"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ウ</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言葉の由来</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や変化</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言葉の由来</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や変化</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Ｃエ</w:t>
            </w:r>
          </w:p>
        </w:tc>
        <w:tc>
          <w:tcPr>
            <w:tcW w:w="1438" w:type="dxa"/>
            <w:vMerge/>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tcBorders>
              <w:right w:val="double" w:sz="4" w:space="0" w:color="auto"/>
            </w:tcBorders>
            <w:tcMar>
              <w:top w:w="0" w:type="dxa"/>
              <w:left w:w="57" w:type="dxa"/>
              <w:bottom w:w="0" w:type="dxa"/>
              <w:right w:w="57" w:type="dxa"/>
            </w:tcMar>
            <w:vAlign w:val="center"/>
          </w:tcPr>
          <w:p w:rsidR="002C0CE1" w:rsidRPr="00445EED"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エ</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読書</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r>
      <w:tr w:rsidR="00E56170" w:rsidRPr="00321097" w:rsidTr="00E56170">
        <w:trPr>
          <w:cantSplit/>
          <w:trHeight w:hRule="exact" w:val="567"/>
        </w:trPr>
        <w:tc>
          <w:tcPr>
            <w:tcW w:w="803" w:type="dxa"/>
            <w:vMerge/>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Ｃオ</w:t>
            </w:r>
          </w:p>
        </w:tc>
        <w:tc>
          <w:tcPr>
            <w:tcW w:w="1438" w:type="dxa"/>
            <w:shd w:val="clear" w:color="auto" w:fill="auto"/>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1438"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1438" w:type="dxa"/>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w:t>
            </w:r>
          </w:p>
        </w:tc>
        <w:tc>
          <w:tcPr>
            <w:tcW w:w="644" w:type="dxa"/>
            <w:vMerge/>
            <w:tcBorders>
              <w:left w:val="double" w:sz="4" w:space="0" w:color="auto"/>
            </w:tcBorders>
            <w:shd w:val="clear" w:color="auto" w:fill="BFBFBF" w:themeFill="background1" w:themeFillShade="BF"/>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オ</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読書</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読書</w:t>
            </w:r>
          </w:p>
        </w:tc>
      </w:tr>
    </w:tbl>
    <w:p w:rsidR="007C4514" w:rsidRPr="00870B6B" w:rsidRDefault="007C4514" w:rsidP="00FB226F">
      <w:pPr>
        <w:spacing w:line="360" w:lineRule="exact"/>
      </w:pP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456" behindDoc="1" locked="0" layoutInCell="1" allowOverlap="1" wp14:anchorId="4A7598F3" wp14:editId="1C798389">
                <wp:simplePos x="0" y="0"/>
                <wp:positionH relativeFrom="column">
                  <wp:align>center</wp:align>
                </wp:positionH>
                <wp:positionV relativeFrom="paragraph">
                  <wp:posOffset>161925</wp:posOffset>
                </wp:positionV>
                <wp:extent cx="6264000" cy="0"/>
                <wp:effectExtent l="0" t="38100" r="41910" b="38100"/>
                <wp:wrapNone/>
                <wp:docPr id="10" name="直線コネクタ 10"/>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D279D" id="直線コネクタ 10"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" strokecolor="#bfbfbf" strokeweight="6pt">
                <v:stroke joinstyle="miter"/>
              </v:line>
            </w:pict>
          </mc:Fallback>
        </mc:AlternateContent>
      </w:r>
      <w:r w:rsidRPr="00870B6B">
        <w:rPr>
          <w:rFonts w:ascii="ＭＳ ゴシック" w:eastAsia="ＭＳ ゴシック" w:hAnsi="ＭＳ ゴシック" w:hint="eastAsia"/>
          <w:sz w:val="24"/>
          <w:szCs w:val="16"/>
        </w:rPr>
        <w:t>評価規準の観点と本資料での略称</w:t>
      </w:r>
    </w:p>
    <w:p w:rsidR="002C0CE1" w:rsidRPr="009637F8" w:rsidRDefault="002C0CE1" w:rsidP="00FB226F">
      <w:pPr>
        <w:pStyle w:val="a7"/>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知・技</w:t>
      </w:r>
      <w:r w:rsidRPr="009637F8">
        <w:rPr>
          <w:rFonts w:ascii="ＭＳ 明朝" w:hAnsi="ＭＳ 明朝" w:hint="eastAsia"/>
          <w:szCs w:val="16"/>
        </w:rPr>
        <w:t>：知識・技能</w:t>
      </w:r>
    </w:p>
    <w:p w:rsidR="002C0CE1" w:rsidRPr="009637F8" w:rsidRDefault="002C0CE1" w:rsidP="00FB226F">
      <w:pPr>
        <w:pStyle w:val="a7"/>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思・判・表</w:t>
      </w:r>
      <w:r w:rsidRPr="009637F8">
        <w:rPr>
          <w:rFonts w:ascii="ＭＳ 明朝" w:hAnsi="ＭＳ 明朝" w:hint="eastAsia"/>
          <w:szCs w:val="16"/>
        </w:rPr>
        <w:t>：思考・判断・表現</w:t>
      </w:r>
    </w:p>
    <w:p w:rsidR="002C0CE1" w:rsidRDefault="002C0CE1" w:rsidP="00FB226F">
      <w:pPr>
        <w:pStyle w:val="a7"/>
        <w:wordWrap/>
        <w:overflowPunct w:val="0"/>
        <w:topLinePunct/>
        <w:spacing w:line="360" w:lineRule="exact"/>
        <w:ind w:firstLineChars="100" w:firstLine="200"/>
        <w:jc w:val="left"/>
        <w:rPr>
          <w:rFonts w:ascii="ＭＳ ゴシック" w:eastAsia="ＭＳ ゴシック" w:hAnsi="ＭＳ ゴシック" w:cs="ＭＳ ゴシック"/>
          <w:sz w:val="28"/>
          <w:szCs w:val="28"/>
        </w:rPr>
      </w:pPr>
      <w:r w:rsidRPr="009637F8">
        <w:rPr>
          <w:rFonts w:ascii="ＭＳ 明朝" w:hAnsi="ＭＳ 明朝" w:hint="eastAsia"/>
          <w:szCs w:val="16"/>
          <w:bdr w:val="single" w:sz="4" w:space="0" w:color="auto"/>
        </w:rPr>
        <w:t>主</w:t>
      </w:r>
      <w:r w:rsidRPr="009637F8">
        <w:rPr>
          <w:rFonts w:ascii="ＭＳ 明朝" w:hAnsi="ＭＳ 明朝" w:hint="eastAsia"/>
          <w:szCs w:val="16"/>
        </w:rPr>
        <w:t>：主体的に学習に取り組む態度</w:t>
      </w:r>
    </w:p>
    <w:p w:rsidR="002C0CE1" w:rsidRPr="002C0CE1" w:rsidRDefault="002C0CE1" w:rsidP="002C0CE1">
      <w:pPr>
        <w:topLinePunct/>
        <w:spacing w:line="360" w:lineRule="exact"/>
        <w:ind w:firstLineChars="100" w:firstLine="200"/>
      </w:pPr>
    </w:p>
    <w:sectPr w:rsidR="002C0CE1" w:rsidRPr="002C0CE1" w:rsidSect="00E13C45">
      <w:pgSz w:w="11906" w:h="16838" w:code="9"/>
      <w:pgMar w:top="851" w:right="1021" w:bottom="851" w:left="1021" w:header="851" w:footer="992"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C3" w:rsidRDefault="00DB0AC3" w:rsidP="00680C55">
      <w:r>
        <w:separator/>
      </w:r>
    </w:p>
  </w:endnote>
  <w:endnote w:type="continuationSeparator" w:id="0">
    <w:p w:rsidR="00DB0AC3" w:rsidRDefault="00DB0AC3" w:rsidP="0068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C3" w:rsidRDefault="00DB0AC3" w:rsidP="00680C55">
      <w:r>
        <w:separator/>
      </w:r>
    </w:p>
  </w:footnote>
  <w:footnote w:type="continuationSeparator" w:id="0">
    <w:p w:rsidR="00DB0AC3" w:rsidRDefault="00DB0AC3" w:rsidP="00680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1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0"/>
    <w:rsid w:val="00056D43"/>
    <w:rsid w:val="001526D3"/>
    <w:rsid w:val="00152CCF"/>
    <w:rsid w:val="002C0CE1"/>
    <w:rsid w:val="0033118F"/>
    <w:rsid w:val="003756D0"/>
    <w:rsid w:val="003A1D51"/>
    <w:rsid w:val="003A377A"/>
    <w:rsid w:val="003D5885"/>
    <w:rsid w:val="00502A5A"/>
    <w:rsid w:val="00544DB7"/>
    <w:rsid w:val="005D3379"/>
    <w:rsid w:val="00680C55"/>
    <w:rsid w:val="006815BE"/>
    <w:rsid w:val="007A6598"/>
    <w:rsid w:val="007B1645"/>
    <w:rsid w:val="007C4514"/>
    <w:rsid w:val="007E037D"/>
    <w:rsid w:val="00834BF9"/>
    <w:rsid w:val="00870B6B"/>
    <w:rsid w:val="008D5FFC"/>
    <w:rsid w:val="00923F86"/>
    <w:rsid w:val="00970CA0"/>
    <w:rsid w:val="009C567F"/>
    <w:rsid w:val="009D6FBC"/>
    <w:rsid w:val="009E1CE0"/>
    <w:rsid w:val="00A07CDB"/>
    <w:rsid w:val="00A372BF"/>
    <w:rsid w:val="00A845BB"/>
    <w:rsid w:val="00AD0151"/>
    <w:rsid w:val="00B1293B"/>
    <w:rsid w:val="00B87448"/>
    <w:rsid w:val="00BB5C24"/>
    <w:rsid w:val="00C14EDE"/>
    <w:rsid w:val="00C71591"/>
    <w:rsid w:val="00DB0AC3"/>
    <w:rsid w:val="00DB0F79"/>
    <w:rsid w:val="00DF01E5"/>
    <w:rsid w:val="00E13C45"/>
    <w:rsid w:val="00E30308"/>
    <w:rsid w:val="00E47018"/>
    <w:rsid w:val="00E56170"/>
    <w:rsid w:val="00FB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810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CE1"/>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55"/>
    <w:pPr>
      <w:tabs>
        <w:tab w:val="center" w:pos="4252"/>
        <w:tab w:val="right" w:pos="8504"/>
      </w:tabs>
      <w:snapToGrid w:val="0"/>
    </w:pPr>
  </w:style>
  <w:style w:type="character" w:customStyle="1" w:styleId="a4">
    <w:name w:val="ヘッダー (文字)"/>
    <w:basedOn w:val="a0"/>
    <w:link w:val="a3"/>
    <w:uiPriority w:val="99"/>
    <w:rsid w:val="00680C55"/>
  </w:style>
  <w:style w:type="paragraph" w:styleId="a5">
    <w:name w:val="footer"/>
    <w:basedOn w:val="a"/>
    <w:link w:val="a6"/>
    <w:uiPriority w:val="99"/>
    <w:unhideWhenUsed/>
    <w:rsid w:val="00680C55"/>
    <w:pPr>
      <w:tabs>
        <w:tab w:val="center" w:pos="4252"/>
        <w:tab w:val="right" w:pos="8504"/>
      </w:tabs>
      <w:snapToGrid w:val="0"/>
    </w:pPr>
  </w:style>
  <w:style w:type="character" w:customStyle="1" w:styleId="a6">
    <w:name w:val="フッター (文字)"/>
    <w:basedOn w:val="a0"/>
    <w:link w:val="a5"/>
    <w:uiPriority w:val="99"/>
    <w:rsid w:val="00680C55"/>
  </w:style>
  <w:style w:type="paragraph" w:customStyle="1" w:styleId="a7">
    <w:name w:val="一太郎"/>
    <w:rsid w:val="00970CA0"/>
    <w:pPr>
      <w:widowControl w:val="0"/>
      <w:wordWrap w:val="0"/>
      <w:autoSpaceDE w:val="0"/>
      <w:autoSpaceDN w:val="0"/>
      <w:adjustRightInd w:val="0"/>
      <w:spacing w:line="333" w:lineRule="exact"/>
    </w:pPr>
    <w:rPr>
      <w:rFonts w:ascii="Times New Roman" w:eastAsia="ＭＳ 明朝" w:hAnsi="Times New Roman"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C430-1AFB-4316-90AE-356DCE95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2021-03-01T08:33:00Z</dcterms:created>
  <dcterms:modified xsi:type="dcterms:W3CDTF">2021-03-04T05:57:00Z</dcterms:modified>
</cp:coreProperties>
</file>