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3069" w:rsidP="00FE3069">
      <w:pPr>
        <w:kinsoku/>
        <w:wordWrap/>
        <w:overflowPunct/>
        <w:autoSpaceDE/>
        <w:autoSpaceDN/>
        <w:adjustRightInd/>
        <w:textAlignment w:val="baseline"/>
        <w:rPr>
          <w:rFonts w:ascii="ＭＳ 明朝" w:cs="Times New Roman"/>
        </w:rPr>
      </w:pPr>
      <w:bookmarkStart w:id="0" w:name="_GoBack"/>
      <w:bookmarkEnd w:id="0"/>
      <w:r>
        <w:rPr>
          <w:rFonts w:hint="eastAsia"/>
          <w:bdr w:val="single" w:sz="4" w:space="0" w:color="000000"/>
        </w:rPr>
        <w:t>検討の観点と内容の特色</w:t>
      </w:r>
    </w:p>
    <w:p w:rsidR="00000000" w:rsidRDefault="00FE3069" w:rsidP="00FE3069">
      <w:pPr>
        <w:kinsoku/>
        <w:wordWrap/>
        <w:overflowPunct/>
        <w:autoSpaceDE/>
        <w:autoSpaceDN/>
        <w:adjustRightInd/>
        <w:jc w:val="center"/>
        <w:textAlignment w:val="baseline"/>
        <w:rPr>
          <w:rFonts w:ascii="ＭＳ 明朝" w:cs="Times New Roman"/>
        </w:rPr>
      </w:pPr>
      <w:r>
        <w:rPr>
          <w:rFonts w:ascii="ＭＳ 明朝" w:eastAsia="ＭＳ ゴシック" w:cs="ＭＳ ゴシック" w:hint="eastAsia"/>
          <w:sz w:val="23"/>
          <w:szCs w:val="23"/>
        </w:rPr>
        <w:t>『高等学校</w:t>
      </w:r>
      <w:r>
        <w:rPr>
          <w:rFonts w:ascii="ＭＳ ゴシック" w:hAnsi="ＭＳ ゴシック" w:cs="ＭＳ ゴシック"/>
          <w:sz w:val="23"/>
          <w:szCs w:val="23"/>
        </w:rPr>
        <w:t xml:space="preserve"> </w:t>
      </w:r>
      <w:r>
        <w:rPr>
          <w:rFonts w:ascii="ＭＳ 明朝" w:eastAsia="ＭＳ ゴシック" w:cs="ＭＳ ゴシック" w:hint="eastAsia"/>
          <w:sz w:val="23"/>
          <w:szCs w:val="23"/>
        </w:rPr>
        <w:t>国語総合</w:t>
      </w:r>
      <w:r>
        <w:rPr>
          <w:rFonts w:ascii="ＭＳ ゴシック" w:hAnsi="ＭＳ ゴシック" w:cs="ＭＳ ゴシック"/>
          <w:sz w:val="23"/>
          <w:szCs w:val="23"/>
        </w:rPr>
        <w:t xml:space="preserve"> </w:t>
      </w:r>
      <w:r>
        <w:rPr>
          <w:rFonts w:ascii="ＭＳ 明朝" w:eastAsia="ＭＳ ゴシック" w:cs="ＭＳ ゴシック" w:hint="eastAsia"/>
          <w:sz w:val="23"/>
          <w:szCs w:val="23"/>
        </w:rPr>
        <w:t>現代文編</w:t>
      </w:r>
      <w:r>
        <w:rPr>
          <w:rFonts w:ascii="ＭＳ ゴシック" w:hAnsi="ＭＳ ゴシック" w:cs="ＭＳ ゴシック"/>
          <w:sz w:val="23"/>
          <w:szCs w:val="23"/>
        </w:rPr>
        <w:t xml:space="preserve"> </w:t>
      </w:r>
      <w:r>
        <w:rPr>
          <w:rFonts w:ascii="ＭＳ 明朝" w:eastAsia="ＭＳ ゴシック" w:cs="ＭＳ ゴシック" w:hint="eastAsia"/>
          <w:sz w:val="23"/>
          <w:szCs w:val="23"/>
        </w:rPr>
        <w:t>改訂版』『高等学校</w:t>
      </w:r>
      <w:r>
        <w:rPr>
          <w:rFonts w:ascii="ＭＳ ゴシック" w:hAnsi="ＭＳ ゴシック" w:cs="ＭＳ ゴシック"/>
          <w:sz w:val="23"/>
          <w:szCs w:val="23"/>
        </w:rPr>
        <w:t xml:space="preserve"> </w:t>
      </w:r>
      <w:r>
        <w:rPr>
          <w:rFonts w:ascii="ＭＳ 明朝" w:eastAsia="ＭＳ ゴシック" w:cs="ＭＳ ゴシック" w:hint="eastAsia"/>
          <w:sz w:val="23"/>
          <w:szCs w:val="23"/>
        </w:rPr>
        <w:t>国語総合</w:t>
      </w:r>
      <w:r>
        <w:rPr>
          <w:rFonts w:ascii="ＭＳ ゴシック" w:hAnsi="ＭＳ ゴシック" w:cs="ＭＳ ゴシック"/>
          <w:sz w:val="23"/>
          <w:szCs w:val="23"/>
        </w:rPr>
        <w:t xml:space="preserve"> </w:t>
      </w:r>
      <w:r>
        <w:rPr>
          <w:rFonts w:ascii="ＭＳ 明朝" w:eastAsia="ＭＳ ゴシック" w:cs="ＭＳ ゴシック" w:hint="eastAsia"/>
          <w:sz w:val="23"/>
          <w:szCs w:val="23"/>
        </w:rPr>
        <w:t>古典編</w:t>
      </w:r>
      <w:r>
        <w:rPr>
          <w:rFonts w:ascii="ＭＳ ゴシック" w:hAnsi="ＭＳ ゴシック" w:cs="ＭＳ ゴシック"/>
          <w:sz w:val="23"/>
          <w:szCs w:val="23"/>
        </w:rPr>
        <w:t xml:space="preserve"> </w:t>
      </w:r>
      <w:r>
        <w:rPr>
          <w:rFonts w:ascii="ＭＳ 明朝" w:eastAsia="ＭＳ ゴシック" w:cs="ＭＳ ゴシック" w:hint="eastAsia"/>
          <w:sz w:val="23"/>
          <w:szCs w:val="23"/>
        </w:rPr>
        <w:t>改訂版』</w:t>
      </w:r>
    </w:p>
    <w:p w:rsidR="00000000" w:rsidRPr="00FE3069" w:rsidRDefault="00FE3069" w:rsidP="00FE3069">
      <w:pPr>
        <w:kinsoku/>
        <w:wordWrap/>
        <w:overflowPunct/>
        <w:autoSpaceDE/>
        <w:autoSpaceDN/>
        <w:adjustRightInd/>
        <w:textAlignment w:val="baseline"/>
        <w:rPr>
          <w:rFonts w:ascii="ＭＳ 明朝" w:cs="Times New Roman"/>
        </w:rPr>
      </w:pPr>
    </w:p>
    <w:tbl>
      <w:tblPr>
        <w:tblW w:w="0" w:type="auto"/>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3151"/>
      </w:tblGrid>
      <w:tr w:rsidR="00000000">
        <w:tblPrEx>
          <w:tblCellMar>
            <w:top w:w="0" w:type="dxa"/>
            <w:bottom w:w="0" w:type="dxa"/>
          </w:tblCellMar>
        </w:tblPrEx>
        <w:tc>
          <w:tcPr>
            <w:tcW w:w="2100" w:type="dxa"/>
            <w:tcBorders>
              <w:top w:val="single" w:sz="4" w:space="0" w:color="000000"/>
              <w:left w:val="single" w:sz="4" w:space="0" w:color="000000"/>
              <w:bottom w:val="single" w:sz="4" w:space="0" w:color="000000"/>
              <w:right w:val="single" w:sz="4" w:space="0" w:color="000000"/>
            </w:tcBorders>
          </w:tcPr>
          <w:p w:rsidR="00000000" w:rsidRDefault="00FE3069" w:rsidP="00FE3069">
            <w:pPr>
              <w:pStyle w:val="a3"/>
              <w:kinsoku w:val="0"/>
              <w:overflowPunct/>
              <w:autoSpaceDE w:val="0"/>
              <w:autoSpaceDN w:val="0"/>
              <w:jc w:val="center"/>
              <w:rPr>
                <w:rFonts w:ascii="ＭＳ 明朝" w:cs="Times New Roman"/>
              </w:rPr>
            </w:pPr>
            <w:r>
              <w:rPr>
                <w:rFonts w:ascii="ＭＳ 明朝" w:hint="eastAsia"/>
              </w:rPr>
              <w:t>発行者番号・略称</w:t>
            </w:r>
          </w:p>
        </w:tc>
        <w:tc>
          <w:tcPr>
            <w:tcW w:w="3151" w:type="dxa"/>
            <w:tcBorders>
              <w:top w:val="single" w:sz="4" w:space="0" w:color="000000"/>
              <w:left w:val="single" w:sz="4" w:space="0" w:color="000000"/>
              <w:bottom w:val="single" w:sz="4" w:space="0" w:color="000000"/>
              <w:right w:val="single" w:sz="4" w:space="0" w:color="000000"/>
            </w:tcBorders>
          </w:tcPr>
          <w:p w:rsidR="00000000" w:rsidRDefault="00FE3069" w:rsidP="00FE3069">
            <w:pPr>
              <w:pStyle w:val="a3"/>
              <w:kinsoku w:val="0"/>
              <w:overflowPunct/>
              <w:autoSpaceDE w:val="0"/>
              <w:autoSpaceDN w:val="0"/>
              <w:jc w:val="center"/>
              <w:rPr>
                <w:rFonts w:ascii="ＭＳ 明朝" w:cs="Times New Roman"/>
              </w:rPr>
            </w:pPr>
            <w:r>
              <w:rPr>
                <w:rFonts w:ascii="ＭＳ 明朝" w:hint="eastAsia"/>
              </w:rPr>
              <w:t>教科書の記号・番号</w:t>
            </w:r>
          </w:p>
        </w:tc>
      </w:tr>
      <w:tr w:rsidR="00000000">
        <w:tblPrEx>
          <w:tblCellMar>
            <w:top w:w="0" w:type="dxa"/>
            <w:bottom w:w="0" w:type="dxa"/>
          </w:tblCellMar>
        </w:tblPrEx>
        <w:tc>
          <w:tcPr>
            <w:tcW w:w="2100" w:type="dxa"/>
            <w:tcBorders>
              <w:top w:val="single" w:sz="4" w:space="0" w:color="000000"/>
              <w:left w:val="single" w:sz="4" w:space="0" w:color="000000"/>
              <w:bottom w:val="single" w:sz="4" w:space="0" w:color="000000"/>
              <w:right w:val="single" w:sz="4" w:space="0" w:color="000000"/>
            </w:tcBorders>
          </w:tcPr>
          <w:p w:rsidR="00000000" w:rsidRDefault="00FE3069" w:rsidP="00FE3069">
            <w:pPr>
              <w:pStyle w:val="a3"/>
              <w:kinsoku w:val="0"/>
              <w:overflowPunct/>
              <w:autoSpaceDE w:val="0"/>
              <w:autoSpaceDN w:val="0"/>
              <w:jc w:val="center"/>
              <w:rPr>
                <w:rFonts w:ascii="ＭＳ 明朝" w:cs="Times New Roman"/>
              </w:rPr>
            </w:pPr>
            <w:r>
              <w:rPr>
                <w:rFonts w:ascii="ＭＳ 明朝" w:hint="eastAsia"/>
              </w:rPr>
              <w:t>１５　三省堂</w:t>
            </w:r>
          </w:p>
        </w:tc>
        <w:tc>
          <w:tcPr>
            <w:tcW w:w="3151" w:type="dxa"/>
            <w:tcBorders>
              <w:top w:val="single" w:sz="4" w:space="0" w:color="000000"/>
              <w:left w:val="single" w:sz="4" w:space="0" w:color="000000"/>
              <w:bottom w:val="single" w:sz="4" w:space="0" w:color="000000"/>
              <w:right w:val="single" w:sz="4" w:space="0" w:color="000000"/>
            </w:tcBorders>
          </w:tcPr>
          <w:p w:rsidR="00000000" w:rsidRDefault="00FE3069" w:rsidP="00FE3069">
            <w:pPr>
              <w:pStyle w:val="a3"/>
              <w:kinsoku w:val="0"/>
              <w:overflowPunct/>
              <w:autoSpaceDE w:val="0"/>
              <w:autoSpaceDN w:val="0"/>
              <w:jc w:val="center"/>
              <w:rPr>
                <w:rFonts w:ascii="ＭＳ 明朝" w:cs="Times New Roman"/>
              </w:rPr>
            </w:pPr>
            <w:r>
              <w:rPr>
                <w:rFonts w:ascii="ＭＳ 明朝" w:hint="eastAsia"/>
              </w:rPr>
              <w:t>国総　３３６・</w:t>
            </w:r>
            <w:r>
              <w:rPr>
                <w:rFonts w:ascii="ＭＳ 明朝" w:hint="eastAsia"/>
              </w:rPr>
              <w:t>３３７</w:t>
            </w:r>
          </w:p>
        </w:tc>
      </w:tr>
    </w:tbl>
    <w:p w:rsidR="00000000" w:rsidRDefault="00FE3069" w:rsidP="00FE3069">
      <w:pPr>
        <w:kinsoku/>
        <w:wordWrap/>
        <w:overflowPunct/>
        <w:autoSpaceDE/>
        <w:autoSpaceDN/>
        <w:adjustRightInd/>
        <w:jc w:val="center"/>
        <w:textAlignment w:val="baseline"/>
        <w:rPr>
          <w:rFonts w:ascii="ＭＳ 明朝" w:cs="Times New Roman"/>
        </w:rPr>
      </w:pPr>
      <w:r>
        <w:rPr>
          <w:rFonts w:hint="eastAsia"/>
          <w:sz w:val="20"/>
          <w:szCs w:val="20"/>
        </w:rPr>
        <w:t>Ａ５判、現代文編２８０ページ・古典編１９２ページ　　編集代表：中洌正堯・岩﨑昇一</w:t>
      </w:r>
    </w:p>
    <w:p w:rsidR="00000000" w:rsidRDefault="00FE3069" w:rsidP="00FE3069">
      <w:pPr>
        <w:kinsoku/>
        <w:wordWrap/>
        <w:overflowPunct/>
        <w:autoSpaceDE/>
        <w:autoSpaceDN/>
        <w:adjustRightInd/>
        <w:textAlignment w:val="baseline"/>
        <w:rPr>
          <w:rFonts w:ascii="ＭＳ 明朝" w:cs="Times New Roman"/>
        </w:rPr>
      </w:pPr>
    </w:p>
    <w:p w:rsidR="00000000" w:rsidRDefault="00FE3069" w:rsidP="00FE3069">
      <w:pPr>
        <w:kinsoku/>
        <w:wordWrap/>
        <w:overflowPunct/>
        <w:autoSpaceDE/>
        <w:autoSpaceDN/>
        <w:adjustRightInd/>
        <w:textAlignment w:val="baseline"/>
        <w:rPr>
          <w:rFonts w:ascii="ＭＳ 明朝" w:cs="Times New Roman"/>
        </w:rPr>
      </w:pPr>
      <w:r>
        <w:rPr>
          <w:rFonts w:hint="eastAsia"/>
          <w:sz w:val="20"/>
          <w:szCs w:val="20"/>
        </w:rPr>
        <w:t>＜１．内容＞</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①全体を通して、総合的な国語力を確実に育成するために適切な内容である。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②『現代文編』では、オーソドックスな教材と現在注目されている著者による新しい教材とを豊富にかつバランスよく採録している。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③『現代文編』の教材には、幅広いテーマから、生徒の関心を引く話題や主体的に考えられる話題が取り上げられており、生徒が意欲をもって学習に取り組めるようになるとともに、思考力を高め、論理的に物事を捉える力を育てるこ</w:t>
      </w:r>
      <w:r>
        <w:rPr>
          <w:rFonts w:hint="eastAsia"/>
          <w:sz w:val="20"/>
          <w:szCs w:val="20"/>
        </w:rPr>
        <w:t>とが十分期待できる。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④『現代文編』の「＜いま＞を読む」では、現代的なテーマの文章から読み取ったことをもとに調べたり、自分の意見をまとめたりする活動が設定されており、小論文の初期指導に適切である。また、ＰＩＳＡ型読解力の育成にも資するものと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⑤コラム「読解から表現へ」にはテーマ型小論文・課題文型小論文の技能的な要素が「＜いま＞を読む」の教材本文と関連づけて解説されており、小論文を書くことを意識した学習を展開できるように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⑥表現教材は、「話すこと・聞くこと」「書くこと」「読むこと」の指</w:t>
      </w:r>
      <w:r>
        <w:rPr>
          <w:rFonts w:hint="eastAsia"/>
          <w:sz w:val="20"/>
          <w:szCs w:val="20"/>
        </w:rPr>
        <w:t>導のための実用的な言語活動がコンパクトにまとめられており、生徒のコミュニケーション能力を高めることが期待できる。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⑦『現代文編』の「読書の扉」では、読解教材に関連した書籍が写真・解説入りで紹介されている。選書も適切で、生徒にも入手できるものが選ばれており、読書指導に有益である。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⑧『古典編』は、丁寧な導入教材とともに、各ジャンルのオーソドックスな教材を豊富に採録している。また、文法・句法についても適切にまとめられているので、基礎的・基本的な事項を確実に学習できるだけでなく、学校の実態に合わせた指導が可能にな</w:t>
      </w:r>
      <w:r>
        <w:rPr>
          <w:rFonts w:hint="eastAsia"/>
          <w:sz w:val="20"/>
          <w:szCs w:val="20"/>
        </w:rPr>
        <w:t>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rPr>
        <w:t>⑨『古典編』のコラム「文法から解釈へ」は、文法事項の把握が古典作品の理解を深めるということを平易に解説しており、文法学習の意義を理解させるのに好適である。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⑩『古典編』のコラム「古典の扉」は、作品の時代背景や当時の生活風習、古典作品と現代とのつながりなどが平易に解説されており、作品理解を深めるのに役立つものとなっている。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⑪見返しや巻末付録には、さまざまな学習活動で活用できる資料が掲載されており、生徒の教材理解、言語活動を支えるものとなっている。</w:t>
      </w:r>
    </w:p>
    <w:p w:rsidR="00000000" w:rsidRDefault="00FE3069" w:rsidP="00FE3069">
      <w:pPr>
        <w:kinsoku/>
        <w:wordWrap/>
        <w:overflowPunct/>
        <w:autoSpaceDE/>
        <w:autoSpaceDN/>
        <w:adjustRightInd/>
        <w:textAlignment w:val="baseline"/>
        <w:rPr>
          <w:rFonts w:ascii="ＭＳ 明朝" w:cs="Times New Roman"/>
        </w:rPr>
      </w:pPr>
    </w:p>
    <w:p w:rsidR="00000000" w:rsidRDefault="00FE3069" w:rsidP="00FE3069">
      <w:pPr>
        <w:kinsoku/>
        <w:wordWrap/>
        <w:overflowPunct/>
        <w:autoSpaceDE/>
        <w:autoSpaceDN/>
        <w:adjustRightInd/>
        <w:textAlignment w:val="baseline"/>
        <w:rPr>
          <w:rFonts w:ascii="ＭＳ 明朝" w:cs="Times New Roman"/>
        </w:rPr>
      </w:pPr>
      <w:r>
        <w:rPr>
          <w:rFonts w:hint="eastAsia"/>
          <w:sz w:val="20"/>
          <w:szCs w:val="20"/>
        </w:rPr>
        <w:t>＜２．構成・分量＞</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①『現代文編』『古典編』と</w:t>
      </w:r>
      <w:r>
        <w:rPr>
          <w:rFonts w:hint="eastAsia"/>
          <w:sz w:val="20"/>
          <w:szCs w:val="20"/>
        </w:rPr>
        <w:t>も、ジャンル別の単元構成で、学校での指導の実態にあった構成となっている。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②『現代文編』『古典編』とも、個々の教材の長さが適切であり、かつ教材数が適度に多く、学校の実態に合わせたカリキュラム編成ができるように配慮されている。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③現代文教材は、評論・小説・随想・詩歌がバランスよく収録・配置されている。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lastRenderedPageBreak/>
        <w:t>④表現教材は『現代文編』の末尾にまとめて収録してあるので扱いやすい。</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⑤古文教材は、説話・物語・随筆・和歌・日記・軍記・紀行・評論といったジャンルが網羅されている。また、分量も適切で、バランスよく収録・配置され</w:t>
      </w:r>
      <w:r>
        <w:rPr>
          <w:rFonts w:hint="eastAsia"/>
          <w:sz w:val="20"/>
          <w:szCs w:val="20"/>
        </w:rPr>
        <w:t>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⑥漢文教材は、故事成語・漢詩・思想・史話・文章・小説といったジャンルが網羅されている。また、分量も適切で、バランスよく収録・配置されている。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⑦『古典編』は、作品の背景などを解説したコラムが複数設けられており、それぞれ関連させながら学習を進められるようになっている。</w:t>
      </w:r>
    </w:p>
    <w:p w:rsidR="00000000" w:rsidRDefault="00FE3069" w:rsidP="00FE3069">
      <w:pPr>
        <w:kinsoku/>
        <w:wordWrap/>
        <w:overflowPunct/>
        <w:autoSpaceDE/>
        <w:autoSpaceDN/>
        <w:adjustRightInd/>
        <w:ind w:left="212" w:hanging="208"/>
        <w:textAlignment w:val="baseline"/>
        <w:rPr>
          <w:rFonts w:ascii="ＭＳ 明朝" w:cs="Times New Roman"/>
        </w:rPr>
      </w:pPr>
    </w:p>
    <w:p w:rsidR="00000000" w:rsidRDefault="00FE3069" w:rsidP="00FE3069">
      <w:pPr>
        <w:kinsoku/>
        <w:wordWrap/>
        <w:overflowPunct/>
        <w:autoSpaceDE/>
        <w:autoSpaceDN/>
        <w:adjustRightInd/>
        <w:textAlignment w:val="baseline"/>
        <w:rPr>
          <w:rFonts w:ascii="ＭＳ 明朝" w:cs="Times New Roman"/>
        </w:rPr>
      </w:pPr>
      <w:r>
        <w:rPr>
          <w:rFonts w:hint="eastAsia"/>
          <w:sz w:val="20"/>
          <w:szCs w:val="20"/>
        </w:rPr>
        <w:t>＜３．表記・表現、及び指導上の工夫＞</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①脚注は分量・内容とも適切である。また、平易な表現で記述されており、生徒の理解を助けるものとなっている。さらに、内容理解の手がかりとなる箇所には、脚問が示されており、授業展開に資するものとなって</w:t>
      </w:r>
      <w:r>
        <w:rPr>
          <w:rFonts w:hint="eastAsia"/>
          <w:sz w:val="20"/>
          <w:szCs w:val="20"/>
        </w:rPr>
        <w:t>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②現代文教材・古文教材では、意味や用法に注意して身につけておきたい語句は、脚注欄に抜き出して見開きごとに整理してあり、語彙を定着させるのに有益である。また、漢文教材では、基本句形を見開きごとに整理してあり、さらに、巻末付録の「漢文の基本形式」で主な基本句形を例文とともに整理してあるので、句形の学習において利便性が高い。</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③現代文教材の学習課題は「学習の手引き」「言葉と表現」「漢字」で構成されており、内容理解だけでなく、言語事項についても多角的に学習することができる。また「言葉と表現」には、教材文の表</w:t>
      </w:r>
      <w:r>
        <w:rPr>
          <w:rFonts w:hint="eastAsia"/>
          <w:sz w:val="20"/>
          <w:szCs w:val="20"/>
        </w:rPr>
        <w:t>現の仕方を吟味したり、教材から読み取った内容をもとに表現したりする活動も収録されており、学習指導要領で示された言語活動を的確に行うことができるよう配慮されている。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④表現教材は、活動の手順が具体的かつ簡潔に示され、かつ生徒作品例も挿入されており、生徒にも活動内容が理解しやすく、授業で扱いやすくなっている。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⑤『古典編』の「学習の手引き」は、内容理解だけでなく、言語事項・漢文句法についても多角的に学習できるようになっている。また、調べ学習や表現活動にも展開できるようになっており、学校の実態に合わせた弾力的な指</w:t>
      </w:r>
      <w:r>
        <w:rPr>
          <w:rFonts w:hint="eastAsia"/>
          <w:sz w:val="20"/>
          <w:szCs w:val="20"/>
        </w:rPr>
        <w:t>導が可能になっている。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rPr>
        <w:t>⑥古典教材では各教材の冒頭に作品の成立年代を示す図版が表示されており、成立年代が視覚的につかめるように工夫されている。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⑦古典文法についての教材が「古文を読むために」として『古典編』の巻末にまとめられており（</w:t>
      </w:r>
      <w:r>
        <w:rPr>
          <w:rFonts w:cs="Times New Roman"/>
          <w:sz w:val="20"/>
          <w:szCs w:val="20"/>
        </w:rPr>
        <w:t>p154</w:t>
      </w:r>
      <w:r>
        <w:rPr>
          <w:rFonts w:hint="eastAsia"/>
          <w:sz w:val="20"/>
          <w:szCs w:val="20"/>
        </w:rPr>
        <w:t>～</w:t>
      </w:r>
      <w:r>
        <w:rPr>
          <w:rFonts w:cs="Times New Roman"/>
          <w:sz w:val="20"/>
          <w:szCs w:val="20"/>
        </w:rPr>
        <w:t>p167</w:t>
      </w:r>
      <w:r>
        <w:rPr>
          <w:rFonts w:hint="eastAsia"/>
          <w:sz w:val="20"/>
          <w:szCs w:val="20"/>
        </w:rPr>
        <w:t>）、さまざまな学習展開に弾力的に対応できるようになっている。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⑧写真・図版の使用が適切である。特に、『古典編』ではカラー図版・カラー写真が視覚的な学習効果を高めるとともに、生徒の興味や関心を喚起するものとなっている。</w:t>
      </w:r>
    </w:p>
    <w:p w:rsidR="00000000" w:rsidRDefault="00FE3069" w:rsidP="00FE3069">
      <w:pPr>
        <w:kinsoku/>
        <w:wordWrap/>
        <w:overflowPunct/>
        <w:autoSpaceDE/>
        <w:autoSpaceDN/>
        <w:adjustRightInd/>
        <w:textAlignment w:val="baseline"/>
        <w:rPr>
          <w:rFonts w:ascii="ＭＳ 明朝" w:cs="Times New Roman"/>
        </w:rPr>
      </w:pPr>
    </w:p>
    <w:p w:rsidR="00000000" w:rsidRDefault="00FE3069" w:rsidP="00FE3069">
      <w:pPr>
        <w:kinsoku/>
        <w:wordWrap/>
        <w:overflowPunct/>
        <w:autoSpaceDE/>
        <w:autoSpaceDN/>
        <w:adjustRightInd/>
        <w:textAlignment w:val="baseline"/>
        <w:rPr>
          <w:rFonts w:ascii="ＭＳ 明朝" w:cs="Times New Roman"/>
        </w:rPr>
      </w:pPr>
      <w:r>
        <w:rPr>
          <w:rFonts w:hint="eastAsia"/>
          <w:sz w:val="20"/>
          <w:szCs w:val="20"/>
        </w:rPr>
        <w:t>＜４．印刷・造本上の配慮＞</w:t>
      </w:r>
    </w:p>
    <w:p w:rsidR="00000000" w:rsidRDefault="00FE3069" w:rsidP="00FE3069">
      <w:pPr>
        <w:kinsoku/>
        <w:wordWrap/>
        <w:overflowPunct/>
        <w:autoSpaceDE/>
        <w:autoSpaceDN/>
        <w:adjustRightInd/>
        <w:textAlignment w:val="baseline"/>
        <w:rPr>
          <w:rFonts w:ascii="ＭＳ 明朝" w:cs="Times New Roman"/>
        </w:rPr>
      </w:pPr>
      <w:r>
        <w:rPr>
          <w:rFonts w:hint="eastAsia"/>
          <w:sz w:val="20"/>
          <w:szCs w:val="20"/>
        </w:rPr>
        <w:t>①『現代文編』</w:t>
      </w:r>
      <w:r>
        <w:rPr>
          <w:rFonts w:hint="eastAsia"/>
          <w:sz w:val="20"/>
          <w:szCs w:val="20"/>
        </w:rPr>
        <w:t>と『古典編』の分冊になっており、学習の実態に合っている。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②活字・写真・挿絵は鮮明で、かつレイアウトも工夫されており、学習に取り組みやすい教科書となっている。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③図の色づかいなどは色覚特性に配慮したものとなっており、また、用紙が落ち着いた色あいで光の反射も抑えられているため、読みやすい紙面となっている。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④製本は堅牢である。</w:t>
      </w:r>
    </w:p>
    <w:p w:rsidR="00000000" w:rsidRDefault="00FE3069" w:rsidP="00FE3069">
      <w:pPr>
        <w:kinsoku/>
        <w:wordWrap/>
        <w:overflowPunct/>
        <w:autoSpaceDE/>
        <w:autoSpaceDN/>
        <w:adjustRightInd/>
        <w:ind w:left="212" w:hanging="208"/>
        <w:textAlignment w:val="baseline"/>
        <w:rPr>
          <w:rFonts w:ascii="ＭＳ 明朝" w:cs="Times New Roman"/>
        </w:rPr>
      </w:pPr>
      <w:r>
        <w:rPr>
          <w:rFonts w:hint="eastAsia"/>
          <w:sz w:val="20"/>
          <w:szCs w:val="20"/>
        </w:rPr>
        <w:t>⑤環境にやさしい用紙と植物油インキが用いられており、地球環境や資源への影響も考慮されている。</w:t>
      </w:r>
    </w:p>
    <w:sectPr w:rsidR="00000000">
      <w:footerReference w:type="default" r:id="rId7"/>
      <w:type w:val="continuous"/>
      <w:pgSz w:w="11906" w:h="16838"/>
      <w:pgMar w:top="1588" w:right="1700" w:bottom="1588" w:left="1700" w:header="720" w:footer="678" w:gutter="0"/>
      <w:pgNumType w:start="1"/>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3069">
      <w:r>
        <w:separator/>
      </w:r>
    </w:p>
  </w:endnote>
  <w:endnote w:type="continuationSeparator" w:id="0">
    <w:p w:rsidR="00000000" w:rsidRDefault="00F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3069">
    <w:pPr>
      <w:pStyle w:val="a3"/>
      <w:framePr w:wrap="auto" w:vAnchor="text" w:hAnchor="margin" w:xAlign="center" w:y="1"/>
      <w:adjustRightInd/>
      <w:jc w:val="center"/>
      <w:rPr>
        <w:rFonts w:ascii="ＭＳ 明朝" w:cs="Times New Roman"/>
      </w:rPr>
    </w:pP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p>
  <w:p w:rsidR="00000000" w:rsidRDefault="00FE3069">
    <w:pPr>
      <w:kinsoku/>
      <w:wordWrap/>
      <w:autoSpaceDE/>
      <w:autoSpaceDN/>
      <w:adjustRightInd/>
      <w:spacing w:line="252" w:lineRule="exact"/>
      <w:jc w:val="center"/>
      <w:textAlignment w:val="baseline"/>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3069">
      <w:r>
        <w:rPr>
          <w:rFonts w:ascii="ＭＳ 明朝" w:cs="Times New Roman"/>
          <w:color w:val="auto"/>
          <w:sz w:val="2"/>
          <w:szCs w:val="2"/>
        </w:rPr>
        <w:continuationSeparator/>
      </w:r>
    </w:p>
  </w:footnote>
  <w:footnote w:type="continuationSeparator" w:id="0">
    <w:p w:rsidR="00000000" w:rsidRDefault="00FE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
  <w:drawingGridVerticalSpacing w:val="324"/>
  <w:displayHorizontalDrawingGridEvery w:val="0"/>
  <w:doNotUseMarginsForDrawingGridOrigin/>
  <w:doNotShadeFormData/>
  <w:characterSpacingControl w:val="doNotCompress"/>
  <w:noLineBreaksAfter w:lang="ja-JP" w:val="([{〈《「『【〔（［｛｢"/>
  <w:noLineBreaksBefore w:lang="ja-JP" w:val="!),.?]}、。〉》」』】〕ぁぃぅぇぉっゃゅょー！），．？］｝｡｣､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69"/>
    <w:rsid w:val="00FE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2012-05-11T12:23:00Z</cp:lastPrinted>
  <dcterms:created xsi:type="dcterms:W3CDTF">2016-05-16T09:09:00Z</dcterms:created>
  <dcterms:modified xsi:type="dcterms:W3CDTF">2016-05-16T09:09:00Z</dcterms:modified>
</cp:coreProperties>
</file>